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173CD" w14:textId="77777777" w:rsidR="00BB1D8F" w:rsidRPr="001412C9" w:rsidRDefault="00397A7A" w:rsidP="002A01FB">
      <w:pPr>
        <w:spacing w:after="0"/>
        <w:jc w:val="center"/>
        <w:rPr>
          <w:b/>
          <w:bCs/>
          <w:sz w:val="26"/>
          <w:szCs w:val="26"/>
        </w:rPr>
      </w:pPr>
      <w:r w:rsidRPr="001412C9">
        <w:rPr>
          <w:b/>
          <w:bCs/>
          <w:sz w:val="26"/>
          <w:szCs w:val="26"/>
        </w:rPr>
        <w:t xml:space="preserve">Medicaid </w:t>
      </w:r>
      <w:r w:rsidR="00445734" w:rsidRPr="001412C9">
        <w:rPr>
          <w:b/>
          <w:bCs/>
          <w:sz w:val="26"/>
          <w:szCs w:val="26"/>
        </w:rPr>
        <w:t xml:space="preserve">Billing Guidance for NYS </w:t>
      </w:r>
      <w:r w:rsidRPr="001412C9">
        <w:rPr>
          <w:b/>
          <w:bCs/>
          <w:sz w:val="26"/>
          <w:szCs w:val="26"/>
        </w:rPr>
        <w:t>Opioid Treatment Programs (</w:t>
      </w:r>
      <w:r w:rsidR="00445734" w:rsidRPr="001412C9">
        <w:rPr>
          <w:b/>
          <w:bCs/>
          <w:sz w:val="26"/>
          <w:szCs w:val="26"/>
        </w:rPr>
        <w:t>OTP</w:t>
      </w:r>
      <w:r w:rsidRPr="001412C9">
        <w:rPr>
          <w:b/>
          <w:bCs/>
          <w:sz w:val="26"/>
          <w:szCs w:val="26"/>
        </w:rPr>
        <w:t>s)</w:t>
      </w:r>
      <w:r w:rsidR="00445734" w:rsidRPr="001412C9">
        <w:rPr>
          <w:b/>
          <w:bCs/>
          <w:sz w:val="26"/>
          <w:szCs w:val="26"/>
        </w:rPr>
        <w:t xml:space="preserve"> Programs </w:t>
      </w:r>
    </w:p>
    <w:p w14:paraId="4C1F1CCD" w14:textId="6F10C795" w:rsidR="00445734" w:rsidRPr="001412C9" w:rsidRDefault="00445734" w:rsidP="002A01FB">
      <w:pPr>
        <w:spacing w:after="0"/>
        <w:jc w:val="center"/>
        <w:rPr>
          <w:b/>
          <w:bCs/>
          <w:sz w:val="26"/>
          <w:szCs w:val="26"/>
        </w:rPr>
      </w:pPr>
      <w:r w:rsidRPr="001412C9">
        <w:rPr>
          <w:b/>
          <w:bCs/>
          <w:sz w:val="26"/>
          <w:szCs w:val="26"/>
        </w:rPr>
        <w:t xml:space="preserve">Operating During </w:t>
      </w:r>
      <w:r w:rsidR="009212C9" w:rsidRPr="001412C9">
        <w:rPr>
          <w:b/>
          <w:bCs/>
          <w:sz w:val="26"/>
          <w:szCs w:val="26"/>
        </w:rPr>
        <w:t xml:space="preserve">the </w:t>
      </w:r>
      <w:r w:rsidRPr="001412C9">
        <w:rPr>
          <w:b/>
          <w:bCs/>
          <w:sz w:val="26"/>
          <w:szCs w:val="26"/>
        </w:rPr>
        <w:t>C</w:t>
      </w:r>
      <w:r w:rsidR="00AF5339" w:rsidRPr="001412C9">
        <w:rPr>
          <w:b/>
          <w:bCs/>
          <w:sz w:val="26"/>
          <w:szCs w:val="26"/>
        </w:rPr>
        <w:t>OVID</w:t>
      </w:r>
      <w:r w:rsidRPr="001412C9">
        <w:rPr>
          <w:b/>
          <w:bCs/>
          <w:sz w:val="26"/>
          <w:szCs w:val="26"/>
        </w:rPr>
        <w:t>-19 Emergency</w:t>
      </w:r>
      <w:r w:rsidR="007208E6">
        <w:rPr>
          <w:b/>
          <w:bCs/>
          <w:sz w:val="26"/>
          <w:szCs w:val="26"/>
        </w:rPr>
        <w:t xml:space="preserve"> – Beginning March 16, 2020</w:t>
      </w:r>
    </w:p>
    <w:p w14:paraId="559E2C4F" w14:textId="77777777" w:rsidR="00AF5339" w:rsidRPr="002A01FB" w:rsidRDefault="00AF5339" w:rsidP="002A01FB">
      <w:pPr>
        <w:spacing w:after="0"/>
        <w:jc w:val="center"/>
        <w:rPr>
          <w:b/>
          <w:bCs/>
        </w:rPr>
      </w:pPr>
    </w:p>
    <w:p w14:paraId="46CC1B75" w14:textId="77777777" w:rsidR="00445734" w:rsidRDefault="00445734" w:rsidP="00445734">
      <w:pPr>
        <w:spacing w:after="0"/>
      </w:pPr>
    </w:p>
    <w:p w14:paraId="72308654" w14:textId="07779E13" w:rsidR="00515D80" w:rsidRDefault="00445734" w:rsidP="00515D80">
      <w:pPr>
        <w:spacing w:after="0"/>
      </w:pPr>
      <w:r w:rsidRPr="00AF5339">
        <w:rPr>
          <w:b/>
          <w:bCs/>
        </w:rPr>
        <w:t>Important Note:</w:t>
      </w:r>
      <w:r w:rsidR="00C866BB">
        <w:rPr>
          <w:b/>
          <w:bCs/>
        </w:rPr>
        <w:t xml:space="preserve">  </w:t>
      </w:r>
      <w:r w:rsidR="00397A7A">
        <w:t>T</w:t>
      </w:r>
      <w:r w:rsidR="00876DFF">
        <w:t xml:space="preserve">he new rate codes </w:t>
      </w:r>
      <w:r w:rsidR="00397A7A">
        <w:t xml:space="preserve">being provided to OTPs will facilitate the reduction in </w:t>
      </w:r>
      <w:r w:rsidR="00876DFF">
        <w:t>face-to-face</w:t>
      </w:r>
      <w:r w:rsidR="00397A7A">
        <w:t xml:space="preserve"> encounters between patients and OTP staff during the COVID-19 emergency, </w:t>
      </w:r>
      <w:r w:rsidR="00FF68BE">
        <w:t xml:space="preserve">and </w:t>
      </w:r>
      <w:r w:rsidR="00397A7A">
        <w:t xml:space="preserve">yet ensure adequate reimbursement consistent with the services </w:t>
      </w:r>
      <w:r w:rsidR="00C866BB">
        <w:t>delivered</w:t>
      </w:r>
      <w:r w:rsidR="00397A7A">
        <w:t xml:space="preserve">.  The rates of payment are based on the Medicare bundles for weekly rates.  The expectation is that </w:t>
      </w:r>
      <w:r w:rsidR="00036F3D">
        <w:t xml:space="preserve">as much as practicable and clinically permitted, </w:t>
      </w:r>
      <w:r w:rsidR="00397A7A">
        <w:t xml:space="preserve">patients will be </w:t>
      </w:r>
      <w:r w:rsidR="00397A7A" w:rsidRPr="00413447">
        <w:t>seen</w:t>
      </w:r>
      <w:r w:rsidR="00413447" w:rsidRPr="00413447">
        <w:t xml:space="preserve"> face-to-face</w:t>
      </w:r>
      <w:r w:rsidR="00876DFF" w:rsidRPr="00413447">
        <w:t xml:space="preserve"> </w:t>
      </w:r>
      <w:r w:rsidR="00876DFF" w:rsidRPr="00413447">
        <w:rPr>
          <w:u w:val="single"/>
        </w:rPr>
        <w:t>only once every 28 days</w:t>
      </w:r>
      <w:r w:rsidR="00413447" w:rsidRPr="00413447">
        <w:t xml:space="preserve">, </w:t>
      </w:r>
      <w:r w:rsidR="00413447">
        <w:t xml:space="preserve">with </w:t>
      </w:r>
      <w:r w:rsidR="00413447" w:rsidRPr="00413447">
        <w:t xml:space="preserve">that contact being </w:t>
      </w:r>
      <w:r w:rsidR="00397A7A" w:rsidRPr="00413447">
        <w:t xml:space="preserve">for </w:t>
      </w:r>
      <w:r w:rsidR="00413447">
        <w:t xml:space="preserve">the </w:t>
      </w:r>
      <w:r w:rsidR="00397A7A" w:rsidRPr="00413447">
        <w:t>purpose of distribution of take</w:t>
      </w:r>
      <w:r w:rsidR="00FF68BE" w:rsidRPr="00413447">
        <w:t>-</w:t>
      </w:r>
      <w:r w:rsidR="00397A7A" w:rsidRPr="00413447">
        <w:t>home medication</w:t>
      </w:r>
      <w:r w:rsidR="00876DFF" w:rsidRPr="00413447">
        <w:t xml:space="preserve">.  </w:t>
      </w:r>
      <w:r w:rsidR="00AB3EE6" w:rsidRPr="00413447">
        <w:t xml:space="preserve">Billing shall be weekly.  </w:t>
      </w:r>
      <w:r w:rsidRPr="00413447">
        <w:t>For each week of service, that week being defined by its Monday start</w:t>
      </w:r>
      <w:r>
        <w:t xml:space="preserve"> date, the provider may bill a given patient under either the existing APG methodology or the new</w:t>
      </w:r>
      <w:r w:rsidR="002A01FB">
        <w:t xml:space="preserve"> alternative</w:t>
      </w:r>
      <w:r>
        <w:t xml:space="preserve"> methodology described below, </w:t>
      </w:r>
      <w:r w:rsidRPr="0014453E">
        <w:rPr>
          <w:b/>
          <w:bCs/>
          <w:u w:val="single"/>
        </w:rPr>
        <w:t>but not both</w:t>
      </w:r>
      <w:r>
        <w:t>.</w:t>
      </w:r>
      <w:r w:rsidR="004816BC">
        <w:t xml:space="preserve">  For each week, only one rate code is billable for a given patient.</w:t>
      </w:r>
      <w:r w:rsidR="00515D80" w:rsidRPr="00515D80">
        <w:t xml:space="preserve"> </w:t>
      </w:r>
      <w:r w:rsidR="00515D80">
        <w:t xml:space="preserve">OASAS will monitor programs to ensure compliance with this billing guidance.  Providers will be subject to audit and recoveries for </w:t>
      </w:r>
      <w:r w:rsidR="004943E0">
        <w:t xml:space="preserve">any </w:t>
      </w:r>
      <w:r w:rsidR="00515D80">
        <w:t xml:space="preserve">billing </w:t>
      </w:r>
      <w:r w:rsidR="004943E0">
        <w:t xml:space="preserve">that is </w:t>
      </w:r>
      <w:r w:rsidR="00515D80">
        <w:t>inconsistent with this guidance.</w:t>
      </w:r>
    </w:p>
    <w:p w14:paraId="19EBC3E4" w14:textId="77777777" w:rsidR="007208E6" w:rsidRDefault="007208E6" w:rsidP="00445734">
      <w:pPr>
        <w:spacing w:after="0"/>
      </w:pPr>
    </w:p>
    <w:p w14:paraId="6FDD87B3" w14:textId="24ADE771" w:rsidR="00AF5339" w:rsidRDefault="007208E6" w:rsidP="00445734">
      <w:pPr>
        <w:spacing w:after="0"/>
      </w:pPr>
      <w:r>
        <w:t>The effective date for these rate codes is March 16, 2020.  If all guidelines detailed below have been followed by the provider, the provider may, at their option, retroactively adjust an already submitted APG claim to one of the new rate codes.</w:t>
      </w:r>
    </w:p>
    <w:p w14:paraId="13ABBDFA" w14:textId="77777777" w:rsidR="00445734" w:rsidRDefault="00445734" w:rsidP="00445734">
      <w:pPr>
        <w:spacing w:after="0"/>
      </w:pPr>
    </w:p>
    <w:p w14:paraId="16A3A1AB" w14:textId="2CE5A493" w:rsidR="002A01FB" w:rsidRDefault="004816BC" w:rsidP="00445734">
      <w:pPr>
        <w:spacing w:after="0"/>
      </w:pPr>
      <w:r>
        <w:t xml:space="preserve">There are eight new rate codes, </w:t>
      </w:r>
      <w:r w:rsidRPr="004816BC">
        <w:t xml:space="preserve">four for freestanding programs </w:t>
      </w:r>
      <w:r>
        <w:t>(</w:t>
      </w:r>
      <w:r w:rsidRPr="004816BC">
        <w:t>designated by C</w:t>
      </w:r>
      <w:r>
        <w:t>ategory of Service</w:t>
      </w:r>
      <w:r w:rsidRPr="004816BC">
        <w:t xml:space="preserve"> 0160)</w:t>
      </w:r>
      <w:r>
        <w:t xml:space="preserve"> and four for hospital</w:t>
      </w:r>
      <w:r w:rsidR="00087259">
        <w:t xml:space="preserve"> program</w:t>
      </w:r>
      <w:r>
        <w:t>s (designated by COS 0287)</w:t>
      </w:r>
      <w:r w:rsidR="00397A7A">
        <w:t>.  These rate codes should only be used for patients who are on at least a weekly take-home schedule</w:t>
      </w:r>
      <w:r>
        <w:t xml:space="preserve">: </w:t>
      </w:r>
    </w:p>
    <w:p w14:paraId="5FD5BB95" w14:textId="258A377F" w:rsidR="002A01FB" w:rsidRDefault="002A01FB" w:rsidP="00445734">
      <w:pPr>
        <w:spacing w:after="0"/>
      </w:pPr>
    </w:p>
    <w:p w14:paraId="1E1AE54C" w14:textId="35B59714" w:rsidR="00455A75" w:rsidRPr="00BA0C1C" w:rsidRDefault="004816BC" w:rsidP="00445734">
      <w:pPr>
        <w:spacing w:after="0"/>
        <w:rPr>
          <w:b/>
        </w:rPr>
      </w:pPr>
      <w:r w:rsidRPr="00BA0C1C">
        <w:rPr>
          <w:b/>
        </w:rPr>
        <w:t xml:space="preserve">Rate Codes </w:t>
      </w:r>
      <w:r w:rsidR="0014453E">
        <w:rPr>
          <w:b/>
        </w:rPr>
        <w:t>79</w:t>
      </w:r>
      <w:r w:rsidRPr="00BA0C1C">
        <w:rPr>
          <w:b/>
        </w:rPr>
        <w:t xml:space="preserve">69 (COS 0160) </w:t>
      </w:r>
      <w:r w:rsidR="00876DFF" w:rsidRPr="00BA0C1C">
        <w:rPr>
          <w:b/>
        </w:rPr>
        <w:t xml:space="preserve">and </w:t>
      </w:r>
      <w:r w:rsidR="0014453E">
        <w:rPr>
          <w:b/>
        </w:rPr>
        <w:t>79</w:t>
      </w:r>
      <w:r w:rsidRPr="00BA0C1C">
        <w:rPr>
          <w:b/>
        </w:rPr>
        <w:t>73 (COS 0287) – Methadone Dispensing or Counseling, Rate of Payment</w:t>
      </w:r>
      <w:r w:rsidR="002A01FB" w:rsidRPr="00BA0C1C">
        <w:rPr>
          <w:b/>
        </w:rPr>
        <w:t xml:space="preserve"> $207.49</w:t>
      </w:r>
      <w:r w:rsidR="00C63B07">
        <w:rPr>
          <w:b/>
        </w:rPr>
        <w:t xml:space="preserve"> per Week</w:t>
      </w:r>
    </w:p>
    <w:p w14:paraId="51F37E90" w14:textId="054B4C5B" w:rsidR="002A01FB" w:rsidRDefault="002A01FB" w:rsidP="00445734">
      <w:pPr>
        <w:spacing w:after="0"/>
      </w:pPr>
    </w:p>
    <w:p w14:paraId="4CAF6EA7" w14:textId="7E0187DD" w:rsidR="00BA0C1C" w:rsidRDefault="004816BC" w:rsidP="00445734">
      <w:pPr>
        <w:spacing w:after="0"/>
      </w:pPr>
      <w:r>
        <w:t>These</w:t>
      </w:r>
      <w:r w:rsidR="002A01FB">
        <w:t xml:space="preserve"> </w:t>
      </w:r>
      <w:r w:rsidR="00AF5339">
        <w:t xml:space="preserve">rate </w:t>
      </w:r>
      <w:r w:rsidR="002A01FB">
        <w:t>code</w:t>
      </w:r>
      <w:r>
        <w:t>s</w:t>
      </w:r>
      <w:r w:rsidR="002A01FB">
        <w:t xml:space="preserve"> appl</w:t>
      </w:r>
      <w:r>
        <w:t>y</w:t>
      </w:r>
      <w:r w:rsidR="002A01FB">
        <w:t xml:space="preserve"> </w:t>
      </w:r>
      <w:r w:rsidR="00C450F1" w:rsidRPr="00413447">
        <w:rPr>
          <w:u w:val="single"/>
        </w:rPr>
        <w:t>only</w:t>
      </w:r>
      <w:r w:rsidR="00C450F1">
        <w:t xml:space="preserve"> </w:t>
      </w:r>
      <w:r w:rsidR="002A01FB">
        <w:t xml:space="preserve">to a </w:t>
      </w:r>
      <w:r w:rsidR="00445734">
        <w:t xml:space="preserve">week </w:t>
      </w:r>
      <w:r w:rsidR="002A01FB">
        <w:t>with</w:t>
      </w:r>
      <w:r w:rsidR="00445734">
        <w:t xml:space="preserve"> </w:t>
      </w:r>
      <w:r w:rsidR="00BA0C1C">
        <w:t>either:</w:t>
      </w:r>
    </w:p>
    <w:p w14:paraId="60EB43DB" w14:textId="77777777" w:rsidR="00BA0C1C" w:rsidRDefault="00BA0C1C" w:rsidP="00445734">
      <w:pPr>
        <w:spacing w:after="0"/>
      </w:pPr>
    </w:p>
    <w:p w14:paraId="30576C76" w14:textId="2FE9A419" w:rsidR="00BA0C1C" w:rsidRDefault="004E3434" w:rsidP="005E0583">
      <w:pPr>
        <w:pStyle w:val="ListParagraph"/>
        <w:numPr>
          <w:ilvl w:val="0"/>
          <w:numId w:val="1"/>
        </w:numPr>
        <w:spacing w:after="0"/>
      </w:pPr>
      <w:r w:rsidRPr="001412C9">
        <w:t xml:space="preserve">face-to-face </w:t>
      </w:r>
      <w:r w:rsidR="00445734" w:rsidRPr="001412C9">
        <w:t xml:space="preserve">medication dispensing </w:t>
      </w:r>
      <w:r w:rsidR="002A01FB" w:rsidRPr="001412C9">
        <w:t xml:space="preserve">of </w:t>
      </w:r>
      <w:r w:rsidR="001412C9" w:rsidRPr="001412C9">
        <w:rPr>
          <w:u w:val="single"/>
        </w:rPr>
        <w:t>at least</w:t>
      </w:r>
      <w:r w:rsidR="001412C9">
        <w:t xml:space="preserve"> a 7-day supply of methadone; however, dispensing of a </w:t>
      </w:r>
      <w:r w:rsidR="00397A7A">
        <w:t>28</w:t>
      </w:r>
      <w:r w:rsidR="001412C9">
        <w:t>-</w:t>
      </w:r>
      <w:r w:rsidR="00397A7A">
        <w:t>day</w:t>
      </w:r>
      <w:r w:rsidR="001412C9">
        <w:t xml:space="preserve"> </w:t>
      </w:r>
      <w:r w:rsidR="00397A7A">
        <w:t>s</w:t>
      </w:r>
      <w:r w:rsidR="001412C9">
        <w:t>upply</w:t>
      </w:r>
      <w:r w:rsidR="00397A7A">
        <w:t xml:space="preserve"> is the expectation </w:t>
      </w:r>
      <w:r w:rsidR="001412C9">
        <w:t xml:space="preserve">during the COVID-19 emergency period </w:t>
      </w:r>
      <w:r w:rsidR="00397A7A">
        <w:t xml:space="preserve">unless a </w:t>
      </w:r>
      <w:r w:rsidR="001412C9">
        <w:t xml:space="preserve">compelling </w:t>
      </w:r>
      <w:r w:rsidR="00397A7A">
        <w:t xml:space="preserve">clinical justification exists for </w:t>
      </w:r>
      <w:r w:rsidR="001412C9">
        <w:t xml:space="preserve">dispensing </w:t>
      </w:r>
      <w:r w:rsidR="00397A7A">
        <w:t>less</w:t>
      </w:r>
      <w:r w:rsidR="001412C9">
        <w:t>; and/or</w:t>
      </w:r>
    </w:p>
    <w:p w14:paraId="0C48B98C" w14:textId="77777777" w:rsidR="00BA0C1C" w:rsidRDefault="00BA0C1C" w:rsidP="00445734">
      <w:pPr>
        <w:spacing w:after="0"/>
      </w:pPr>
    </w:p>
    <w:p w14:paraId="59F2DBDB" w14:textId="096DFF4C" w:rsidR="0073166D" w:rsidRDefault="001412C9" w:rsidP="005E0583">
      <w:pPr>
        <w:pStyle w:val="ListParagraph"/>
        <w:numPr>
          <w:ilvl w:val="0"/>
          <w:numId w:val="1"/>
        </w:numPr>
        <w:spacing w:after="0"/>
      </w:pPr>
      <w:r>
        <w:t xml:space="preserve">any OTP service </w:t>
      </w:r>
      <w:r w:rsidR="00BA0C1C">
        <w:t xml:space="preserve">delivered using </w:t>
      </w:r>
      <w:r w:rsidR="002A01FB">
        <w:t>telep</w:t>
      </w:r>
      <w:r w:rsidR="009212C9">
        <w:t>ractice</w:t>
      </w:r>
      <w:r w:rsidR="002A01FB">
        <w:t xml:space="preserve"> </w:t>
      </w:r>
      <w:r>
        <w:t xml:space="preserve">and </w:t>
      </w:r>
      <w:r w:rsidR="002A01FB">
        <w:t>meeting minimum programmatic requirements</w:t>
      </w:r>
      <w:r w:rsidR="00252624">
        <w:t xml:space="preserve"> (see the links at the end of this document)</w:t>
      </w:r>
      <w:r w:rsidR="002A01FB">
        <w:t>.</w:t>
      </w:r>
      <w:r w:rsidR="005E0583">
        <w:t xml:space="preserve">  Such services include </w:t>
      </w:r>
      <w:r w:rsidR="004943E0">
        <w:t xml:space="preserve">medication administration, </w:t>
      </w:r>
      <w:r w:rsidR="005E0583">
        <w:t>counseling</w:t>
      </w:r>
      <w:r w:rsidR="00397A7A">
        <w:t>, peer services</w:t>
      </w:r>
      <w:r w:rsidR="00EE0CBB">
        <w:t>,</w:t>
      </w:r>
      <w:r w:rsidR="005E0583">
        <w:t xml:space="preserve"> and assessments.</w:t>
      </w:r>
    </w:p>
    <w:p w14:paraId="25EC4FAF" w14:textId="77777777" w:rsidR="0073166D" w:rsidRDefault="0073166D" w:rsidP="0073166D">
      <w:pPr>
        <w:spacing w:after="0"/>
      </w:pPr>
    </w:p>
    <w:p w14:paraId="32FBF9AB" w14:textId="461FC66C" w:rsidR="00283040" w:rsidRDefault="00531EDA" w:rsidP="00531EDA">
      <w:pPr>
        <w:spacing w:after="0"/>
      </w:pPr>
      <w:r>
        <w:t>Use only a single procedure code on the claim, G2067, “medication assisted treatment, methadone; weekly bundle including dispensing and/or administration, substance use counseling, individual and group therapy, and toxicology testing”</w:t>
      </w:r>
      <w:r w:rsidR="001412C9">
        <w:t xml:space="preserve">.  Again, APG billing is still an option, but you may not submit </w:t>
      </w:r>
      <w:r w:rsidR="00413447">
        <w:t xml:space="preserve">both </w:t>
      </w:r>
      <w:r w:rsidR="001412C9">
        <w:t>an APG claim and a claim under one of the new rate codes.</w:t>
      </w:r>
      <w:r>
        <w:t xml:space="preserve">  If using APGs, code the claim as you normally do</w:t>
      </w:r>
      <w:r w:rsidR="004943E0">
        <w:t xml:space="preserve"> for APG billing.</w:t>
      </w:r>
    </w:p>
    <w:p w14:paraId="2957E9BE" w14:textId="77777777" w:rsidR="00C63B07" w:rsidRDefault="00C63B07" w:rsidP="00445734">
      <w:pPr>
        <w:spacing w:after="0"/>
      </w:pPr>
    </w:p>
    <w:p w14:paraId="00C242D7" w14:textId="24E4F6B2" w:rsidR="00C63B07" w:rsidRPr="00C63B07" w:rsidRDefault="00C63B07" w:rsidP="00C63B07">
      <w:pPr>
        <w:spacing w:after="0"/>
        <w:rPr>
          <w:b/>
        </w:rPr>
      </w:pPr>
      <w:r>
        <w:rPr>
          <w:b/>
        </w:rPr>
        <w:lastRenderedPageBreak/>
        <w:t xml:space="preserve">Rate Codes </w:t>
      </w:r>
      <w:r w:rsidR="0014453E">
        <w:rPr>
          <w:b/>
        </w:rPr>
        <w:t>79</w:t>
      </w:r>
      <w:r>
        <w:rPr>
          <w:b/>
        </w:rPr>
        <w:t>70</w:t>
      </w:r>
      <w:r w:rsidRPr="00C63B07">
        <w:rPr>
          <w:b/>
        </w:rPr>
        <w:t xml:space="preserve"> (COS 016</w:t>
      </w:r>
      <w:r>
        <w:rPr>
          <w:b/>
        </w:rPr>
        <w:t xml:space="preserve">0) and </w:t>
      </w:r>
      <w:r w:rsidR="0014453E">
        <w:rPr>
          <w:b/>
        </w:rPr>
        <w:t>79</w:t>
      </w:r>
      <w:r>
        <w:rPr>
          <w:b/>
        </w:rPr>
        <w:t>74</w:t>
      </w:r>
      <w:r w:rsidRPr="00C63B07">
        <w:rPr>
          <w:b/>
        </w:rPr>
        <w:t xml:space="preserve"> (COS 0287) – </w:t>
      </w:r>
      <w:r>
        <w:rPr>
          <w:b/>
        </w:rPr>
        <w:t xml:space="preserve">Methadone Administration, Rate of Payment </w:t>
      </w:r>
      <w:r w:rsidRPr="00C63B07">
        <w:rPr>
          <w:b/>
        </w:rPr>
        <w:t>$35.28</w:t>
      </w:r>
      <w:r>
        <w:rPr>
          <w:b/>
        </w:rPr>
        <w:t xml:space="preserve"> per Week</w:t>
      </w:r>
    </w:p>
    <w:p w14:paraId="378AD1CD" w14:textId="77777777" w:rsidR="00C63B07" w:rsidRDefault="00C63B07" w:rsidP="00C63B07">
      <w:pPr>
        <w:spacing w:after="0"/>
      </w:pPr>
    </w:p>
    <w:p w14:paraId="39288730" w14:textId="68F29236" w:rsidR="00C44679" w:rsidRDefault="00C63B07" w:rsidP="00445734">
      <w:pPr>
        <w:spacing w:after="0"/>
      </w:pPr>
      <w:r>
        <w:t xml:space="preserve">This rate code applies to any week during which </w:t>
      </w:r>
      <w:proofErr w:type="gramStart"/>
      <w:r>
        <w:t xml:space="preserve">dispensing </w:t>
      </w:r>
      <w:r w:rsidR="004943E0">
        <w:t>,</w:t>
      </w:r>
      <w:proofErr w:type="gramEnd"/>
      <w:r w:rsidR="004943E0">
        <w:t xml:space="preserve"> med admin, </w:t>
      </w:r>
      <w:r>
        <w:t xml:space="preserve">or counseling </w:t>
      </w:r>
      <w:r w:rsidR="004943E0">
        <w:t xml:space="preserve">did not </w:t>
      </w:r>
      <w:r>
        <w:t xml:space="preserve">occur, but the patient still had available a supply of previously dispensed methadone.  Code only H0020. </w:t>
      </w:r>
      <w:r w:rsidR="00BD7CC5">
        <w:t xml:space="preserve"> </w:t>
      </w:r>
      <w:r w:rsidR="00531EDA">
        <w:t xml:space="preserve">Do not code any other procedure codes.  </w:t>
      </w:r>
      <w:r w:rsidR="00BD7CC5">
        <w:t>No face-to-face or telemedicine (including telephonic) contact is required</w:t>
      </w:r>
      <w:r w:rsidR="00DC7315">
        <w:t xml:space="preserve"> to bill this rate code</w:t>
      </w:r>
      <w:r w:rsidR="00C44679">
        <w:t>.</w:t>
      </w:r>
    </w:p>
    <w:p w14:paraId="6CC9DE24" w14:textId="77777777" w:rsidR="00C44679" w:rsidRDefault="00C44679" w:rsidP="00445734">
      <w:pPr>
        <w:spacing w:after="0"/>
      </w:pPr>
    </w:p>
    <w:p w14:paraId="48982C55" w14:textId="4A9C2D1F" w:rsidR="00DC7315" w:rsidRDefault="00C44679" w:rsidP="00445734">
      <w:pPr>
        <w:spacing w:after="0"/>
      </w:pPr>
      <w:r>
        <w:t>NOTE:  P</w:t>
      </w:r>
      <w:r w:rsidR="001412C9" w:rsidRPr="001412C9">
        <w:t xml:space="preserve">roviders are strongly encouraged to conduct some </w:t>
      </w:r>
      <w:r w:rsidR="001412C9">
        <w:t xml:space="preserve">sort of </w:t>
      </w:r>
      <w:r w:rsidR="001412C9" w:rsidRPr="001412C9">
        <w:t xml:space="preserve">weekly </w:t>
      </w:r>
      <w:r w:rsidR="001412C9">
        <w:t xml:space="preserve">med admin </w:t>
      </w:r>
      <w:r>
        <w:t xml:space="preserve">telephonic or telemedicine </w:t>
      </w:r>
      <w:r w:rsidR="001412C9" w:rsidRPr="001412C9">
        <w:t>contact with patients who are managing large increases in take</w:t>
      </w:r>
      <w:r w:rsidR="001412C9">
        <w:t>-</w:t>
      </w:r>
      <w:r w:rsidR="001412C9" w:rsidRPr="001412C9">
        <w:t>home doses of methadone.</w:t>
      </w:r>
      <w:r>
        <w:t xml:space="preserve">  If that type of contact occurs, bill the bundle rate code (7969 or 7973)</w:t>
      </w:r>
    </w:p>
    <w:p w14:paraId="6BE7EBED" w14:textId="77777777" w:rsidR="00DC7315" w:rsidRDefault="00DC7315" w:rsidP="00445734">
      <w:pPr>
        <w:spacing w:after="0"/>
      </w:pPr>
    </w:p>
    <w:p w14:paraId="068AE698" w14:textId="07FF0328" w:rsidR="002A01FB" w:rsidRPr="00C63B07" w:rsidRDefault="005E0583" w:rsidP="00445734">
      <w:pPr>
        <w:spacing w:after="0"/>
        <w:rPr>
          <w:b/>
        </w:rPr>
      </w:pPr>
      <w:r w:rsidRPr="00C63B07">
        <w:rPr>
          <w:b/>
        </w:rPr>
        <w:t xml:space="preserve">Rate Codes </w:t>
      </w:r>
      <w:r w:rsidR="0014453E">
        <w:rPr>
          <w:b/>
        </w:rPr>
        <w:t>79</w:t>
      </w:r>
      <w:r w:rsidRPr="00C63B07">
        <w:rPr>
          <w:b/>
        </w:rPr>
        <w:t xml:space="preserve">71 (COS 0160) and </w:t>
      </w:r>
      <w:r w:rsidR="0014453E">
        <w:rPr>
          <w:b/>
        </w:rPr>
        <w:t>79</w:t>
      </w:r>
      <w:r w:rsidRPr="00C63B07">
        <w:rPr>
          <w:b/>
        </w:rPr>
        <w:t>75</w:t>
      </w:r>
      <w:r w:rsidR="00C63B07" w:rsidRPr="00C63B07">
        <w:rPr>
          <w:b/>
        </w:rPr>
        <w:t xml:space="preserve"> (COS 0287) – Buprenorphine </w:t>
      </w:r>
      <w:r w:rsidRPr="00C63B07">
        <w:rPr>
          <w:b/>
        </w:rPr>
        <w:t xml:space="preserve">Dispensing or Counseling, Rate of Payment </w:t>
      </w:r>
      <w:r w:rsidR="002A01FB" w:rsidRPr="00C63B07">
        <w:rPr>
          <w:b/>
        </w:rPr>
        <w:t>$258.47</w:t>
      </w:r>
      <w:r w:rsidR="00C63B07">
        <w:rPr>
          <w:b/>
        </w:rPr>
        <w:t xml:space="preserve"> per Week</w:t>
      </w:r>
    </w:p>
    <w:p w14:paraId="226F3A28" w14:textId="2016E37B" w:rsidR="002A01FB" w:rsidRDefault="002A01FB" w:rsidP="00445734">
      <w:pPr>
        <w:spacing w:after="0"/>
      </w:pPr>
    </w:p>
    <w:p w14:paraId="25679BD5" w14:textId="77777777" w:rsidR="00531EDA" w:rsidRDefault="00C63B07" w:rsidP="008A0742">
      <w:pPr>
        <w:spacing w:after="0"/>
      </w:pPr>
      <w:r>
        <w:t xml:space="preserve">The same rules apply as those for rate codes </w:t>
      </w:r>
      <w:r w:rsidR="0014453E">
        <w:t>79</w:t>
      </w:r>
      <w:r>
        <w:t xml:space="preserve">69 and </w:t>
      </w:r>
      <w:r w:rsidR="0014453E">
        <w:t>79</w:t>
      </w:r>
      <w:r>
        <w:t>73, except these codes are for buprenorphine patients as opposed to methadone patients.</w:t>
      </w:r>
    </w:p>
    <w:p w14:paraId="1C81A682" w14:textId="77777777" w:rsidR="00531EDA" w:rsidRDefault="00531EDA" w:rsidP="008A0742">
      <w:pPr>
        <w:spacing w:after="0"/>
      </w:pPr>
    </w:p>
    <w:p w14:paraId="4F133C85" w14:textId="76D8813A" w:rsidR="00BD7CC5" w:rsidRDefault="00531EDA" w:rsidP="008A0742">
      <w:pPr>
        <w:spacing w:after="0"/>
      </w:pPr>
      <w:r w:rsidRPr="00531EDA">
        <w:t>Use only a single procedure code on the claim, G206</w:t>
      </w:r>
      <w:r>
        <w:t>8</w:t>
      </w:r>
      <w:r w:rsidRPr="00531EDA">
        <w:t xml:space="preserve">, “medication assisted treatment, </w:t>
      </w:r>
      <w:r>
        <w:t>buprenorphine (oral)</w:t>
      </w:r>
      <w:r w:rsidRPr="00531EDA">
        <w:t xml:space="preserve">; weekly bundle including dispensing and/or administration, substance use counseling, individual and group therapy, and toxicology testing”.  Again, APG billing is still an option, but you may not submit both an APG claim and a claim under one of the new rate codes.  If using APGs, code the claim as you normally do.  </w:t>
      </w:r>
    </w:p>
    <w:p w14:paraId="52EB306A" w14:textId="77777777" w:rsidR="00DC7315" w:rsidRDefault="00DC7315" w:rsidP="008A0742">
      <w:pPr>
        <w:spacing w:after="0"/>
      </w:pPr>
    </w:p>
    <w:p w14:paraId="5A1682F2" w14:textId="01E544C1" w:rsidR="008A0742" w:rsidRPr="00C63B07" w:rsidRDefault="00C63B07" w:rsidP="008A0742">
      <w:pPr>
        <w:spacing w:after="0"/>
        <w:rPr>
          <w:b/>
        </w:rPr>
      </w:pPr>
      <w:r w:rsidRPr="00C63B07">
        <w:rPr>
          <w:b/>
        </w:rPr>
        <w:t xml:space="preserve">Rate Codes </w:t>
      </w:r>
      <w:r w:rsidR="0014453E">
        <w:rPr>
          <w:b/>
        </w:rPr>
        <w:t>79</w:t>
      </w:r>
      <w:r w:rsidRPr="00C63B07">
        <w:rPr>
          <w:b/>
        </w:rPr>
        <w:t xml:space="preserve">72 (COS 0160) and </w:t>
      </w:r>
      <w:r w:rsidR="0014453E">
        <w:rPr>
          <w:b/>
        </w:rPr>
        <w:t>79</w:t>
      </w:r>
      <w:r w:rsidRPr="00C63B07">
        <w:rPr>
          <w:b/>
        </w:rPr>
        <w:t xml:space="preserve">76 (COS 0287) – Buprenorphine Administration, Rate of Payment </w:t>
      </w:r>
      <w:r w:rsidR="008A0742" w:rsidRPr="00C63B07">
        <w:rPr>
          <w:b/>
        </w:rPr>
        <w:t>$86.26</w:t>
      </w:r>
      <w:r w:rsidRPr="00C63B07">
        <w:rPr>
          <w:b/>
        </w:rPr>
        <w:t xml:space="preserve"> per Week</w:t>
      </w:r>
    </w:p>
    <w:p w14:paraId="29219C15" w14:textId="77777777" w:rsidR="002A01FB" w:rsidRDefault="002A01FB" w:rsidP="00445734">
      <w:pPr>
        <w:spacing w:after="0"/>
      </w:pPr>
    </w:p>
    <w:p w14:paraId="59C97AA8" w14:textId="6D96F77D" w:rsidR="00C44679" w:rsidRDefault="008A0742" w:rsidP="00445734">
      <w:pPr>
        <w:spacing w:after="0"/>
      </w:pPr>
      <w:r>
        <w:t xml:space="preserve">This </w:t>
      </w:r>
      <w:r w:rsidR="00AF5339">
        <w:t xml:space="preserve">rate </w:t>
      </w:r>
      <w:r>
        <w:t xml:space="preserve">code applies to any week during which </w:t>
      </w:r>
      <w:r w:rsidR="004943E0">
        <w:t xml:space="preserve">face-to-face </w:t>
      </w:r>
      <w:r>
        <w:t>dispensing</w:t>
      </w:r>
      <w:r w:rsidR="004943E0">
        <w:t xml:space="preserve">, telephonic med admin, </w:t>
      </w:r>
      <w:r>
        <w:t xml:space="preserve">or </w:t>
      </w:r>
      <w:r w:rsidR="004943E0">
        <w:t xml:space="preserve">telepractice </w:t>
      </w:r>
      <w:r>
        <w:t xml:space="preserve">counseling </w:t>
      </w:r>
      <w:r w:rsidR="004943E0">
        <w:t xml:space="preserve">did not </w:t>
      </w:r>
      <w:r>
        <w:t xml:space="preserve">occur, but the patient still had </w:t>
      </w:r>
      <w:r w:rsidR="00AB3EE6">
        <w:t xml:space="preserve">available </w:t>
      </w:r>
      <w:r>
        <w:t>a supply of previously dispensed buprenorphine.  Code H0020</w:t>
      </w:r>
      <w:r w:rsidR="00AF5339">
        <w:t>, with a U1 modifier</w:t>
      </w:r>
      <w:r w:rsidR="00252624">
        <w:t>.</w:t>
      </w:r>
      <w:r w:rsidR="00531EDA">
        <w:t xml:space="preserve">  Do not code any other procedure codes.</w:t>
      </w:r>
      <w:r w:rsidR="00C44679" w:rsidRPr="00C44679">
        <w:t xml:space="preserve"> </w:t>
      </w:r>
    </w:p>
    <w:p w14:paraId="63361CE3" w14:textId="77777777" w:rsidR="00C44679" w:rsidRDefault="00C44679" w:rsidP="00445734">
      <w:pPr>
        <w:spacing w:after="0"/>
      </w:pPr>
    </w:p>
    <w:p w14:paraId="6EC8F44A" w14:textId="6A691D84" w:rsidR="00DC7315" w:rsidRDefault="00C44679" w:rsidP="00445734">
      <w:pPr>
        <w:spacing w:after="0"/>
      </w:pPr>
      <w:r w:rsidRPr="00C44679">
        <w:t>NOTE:  Providers are strongly encouraged to conduct some sort of weekly med admin telephonic or telemedicine contact with patients who are managing large increases in take-home doses of</w:t>
      </w:r>
      <w:r>
        <w:t xml:space="preserve"> </w:t>
      </w:r>
      <w:r w:rsidRPr="00C44679">
        <w:t>buprenorphine.  If that type of contact occurs, bill the bundle rate code (79</w:t>
      </w:r>
      <w:r>
        <w:t>71</w:t>
      </w:r>
      <w:r w:rsidRPr="00C44679">
        <w:t xml:space="preserve"> or 797</w:t>
      </w:r>
      <w:r>
        <w:t>5</w:t>
      </w:r>
      <w:r w:rsidRPr="00C44679">
        <w:t>)</w:t>
      </w:r>
    </w:p>
    <w:p w14:paraId="64F14FC3" w14:textId="188DE381" w:rsidR="00C44679" w:rsidRDefault="00C44679" w:rsidP="00445734">
      <w:pPr>
        <w:spacing w:after="0"/>
      </w:pPr>
    </w:p>
    <w:p w14:paraId="2811B5A2" w14:textId="49B77C53" w:rsidR="00531EDA" w:rsidRPr="00531EDA" w:rsidRDefault="00C44679" w:rsidP="00445734">
      <w:pPr>
        <w:spacing w:after="0"/>
        <w:rPr>
          <w:b/>
          <w:bCs/>
        </w:rPr>
      </w:pPr>
      <w:r>
        <w:rPr>
          <w:b/>
          <w:bCs/>
        </w:rPr>
        <w:t>B</w:t>
      </w:r>
      <w:r w:rsidR="00531EDA" w:rsidRPr="00531EDA">
        <w:rPr>
          <w:b/>
          <w:bCs/>
        </w:rPr>
        <w:t>illing Example:</w:t>
      </w:r>
    </w:p>
    <w:p w14:paraId="5B914626" w14:textId="6F3D051B" w:rsidR="00531EDA" w:rsidRDefault="00531EDA" w:rsidP="00445734">
      <w:pPr>
        <w:spacing w:after="0"/>
      </w:pPr>
    </w:p>
    <w:p w14:paraId="12F9CCD4" w14:textId="11CEAC30" w:rsidR="00531EDA" w:rsidRDefault="00531EDA" w:rsidP="00445734">
      <w:pPr>
        <w:spacing w:after="0"/>
      </w:pPr>
      <w:r>
        <w:t xml:space="preserve">During week </w:t>
      </w:r>
      <w:r w:rsidR="00C44679">
        <w:t>one of a four-week</w:t>
      </w:r>
      <w:r>
        <w:t xml:space="preserve"> period, the provider </w:t>
      </w:r>
      <w:r w:rsidR="00C44679">
        <w:t>(a freestanding OTP) sees</w:t>
      </w:r>
      <w:r>
        <w:t xml:space="preserve"> the patient on Wednesday </w:t>
      </w:r>
      <w:r w:rsidR="00C44679">
        <w:t xml:space="preserve">of the first week </w:t>
      </w:r>
      <w:r>
        <w:t>and dispenses a 28</w:t>
      </w:r>
      <w:r w:rsidR="00C44679">
        <w:t>-</w:t>
      </w:r>
      <w:r>
        <w:t>day supply of methadone.  During week two there is no further contact.  During week three, the provider does counseling using telemedicine.  During week four there is no face-to-face contact, but there is telephonic med admin contact</w:t>
      </w:r>
    </w:p>
    <w:p w14:paraId="0976EEF6" w14:textId="32BA0FB0" w:rsidR="00C44679" w:rsidRDefault="00C44679" w:rsidP="00445734">
      <w:pPr>
        <w:spacing w:after="0"/>
      </w:pPr>
    </w:p>
    <w:p w14:paraId="26F88EE2" w14:textId="558BE652" w:rsidR="00C44679" w:rsidRDefault="00C44679" w:rsidP="00445734">
      <w:pPr>
        <w:spacing w:after="0"/>
      </w:pPr>
      <w:r>
        <w:t>Week 1 – Bill 7969, using G2067, and a Monday date of service.  Do not bill APGs.</w:t>
      </w:r>
    </w:p>
    <w:p w14:paraId="4C532A95" w14:textId="2AB74E66" w:rsidR="00C44679" w:rsidRDefault="00C44679" w:rsidP="00445734">
      <w:pPr>
        <w:spacing w:after="0"/>
      </w:pPr>
      <w:r w:rsidRPr="00C44679">
        <w:t xml:space="preserve">Week </w:t>
      </w:r>
      <w:r>
        <w:t>2</w:t>
      </w:r>
      <w:r w:rsidRPr="00C44679">
        <w:t xml:space="preserve"> – Bill 79</w:t>
      </w:r>
      <w:r>
        <w:t>70</w:t>
      </w:r>
      <w:r w:rsidRPr="00C44679">
        <w:t>, using</w:t>
      </w:r>
      <w:r>
        <w:t xml:space="preserve"> H0020</w:t>
      </w:r>
      <w:r w:rsidRPr="00C44679">
        <w:t>, and a Monday date of service.</w:t>
      </w:r>
      <w:r w:rsidR="004943E0" w:rsidRPr="004943E0">
        <w:t xml:space="preserve">  Do not bill APGs.</w:t>
      </w:r>
    </w:p>
    <w:p w14:paraId="2E417831" w14:textId="05B914D5" w:rsidR="00C44679" w:rsidRDefault="00C44679" w:rsidP="00445734">
      <w:pPr>
        <w:spacing w:after="0"/>
      </w:pPr>
      <w:r w:rsidRPr="00C44679">
        <w:lastRenderedPageBreak/>
        <w:t xml:space="preserve">Week </w:t>
      </w:r>
      <w:r>
        <w:t>3</w:t>
      </w:r>
      <w:r w:rsidRPr="00C44679">
        <w:t xml:space="preserve"> – Bill 7969, using G2067, and a Monday date of service.</w:t>
      </w:r>
      <w:r w:rsidR="004943E0" w:rsidRPr="004943E0">
        <w:t xml:space="preserve">  Do not bill APGs.</w:t>
      </w:r>
    </w:p>
    <w:p w14:paraId="1A18833A" w14:textId="77777777" w:rsidR="004943E0" w:rsidRDefault="00C44679" w:rsidP="004943E0">
      <w:pPr>
        <w:spacing w:after="0"/>
      </w:pPr>
      <w:r w:rsidRPr="00C44679">
        <w:t xml:space="preserve">Week </w:t>
      </w:r>
      <w:r>
        <w:t>4</w:t>
      </w:r>
      <w:r w:rsidRPr="00C44679">
        <w:t xml:space="preserve"> – Bill 7969, using G2067, and a Monday date of service.</w:t>
      </w:r>
      <w:r w:rsidR="004943E0" w:rsidRPr="004943E0">
        <w:t xml:space="preserve">  Do not bill APGs.</w:t>
      </w:r>
    </w:p>
    <w:p w14:paraId="756C70B9" w14:textId="77777777" w:rsidR="004943E0" w:rsidRDefault="004943E0" w:rsidP="004943E0">
      <w:pPr>
        <w:spacing w:after="0"/>
      </w:pPr>
    </w:p>
    <w:p w14:paraId="53F53315" w14:textId="396F1459" w:rsidR="00252624" w:rsidRPr="004943E0" w:rsidRDefault="00252624" w:rsidP="004943E0">
      <w:pPr>
        <w:spacing w:after="0"/>
      </w:pPr>
      <w:r w:rsidRPr="00252624">
        <w:rPr>
          <w:rFonts w:ascii="Calibri" w:eastAsia="Calibri" w:hAnsi="Calibri" w:cs="Calibri"/>
          <w:b/>
          <w:bCs/>
        </w:rPr>
        <w:t>Additional information on telemedicine:</w:t>
      </w:r>
    </w:p>
    <w:p w14:paraId="7F3A69A9" w14:textId="692F3D8A" w:rsidR="00252624" w:rsidRPr="00252624" w:rsidRDefault="00252624" w:rsidP="00252624">
      <w:pPr>
        <w:spacing w:after="0" w:line="240" w:lineRule="auto"/>
        <w:rPr>
          <w:rFonts w:ascii="Calibri" w:eastAsia="Calibri" w:hAnsi="Calibri" w:cs="Calibri"/>
        </w:rPr>
      </w:pPr>
    </w:p>
    <w:p w14:paraId="7EF46B1B" w14:textId="77777777" w:rsidR="00252624" w:rsidRPr="00252624" w:rsidRDefault="00DF0F57" w:rsidP="00252624">
      <w:pPr>
        <w:spacing w:after="0" w:line="240" w:lineRule="auto"/>
        <w:rPr>
          <w:rFonts w:ascii="Times New Roman" w:eastAsia="Calibri" w:hAnsi="Times New Roman" w:cs="Times New Roman"/>
          <w:sz w:val="24"/>
          <w:szCs w:val="24"/>
        </w:rPr>
      </w:pPr>
      <w:hyperlink r:id="rId5" w:history="1">
        <w:r w:rsidR="00252624" w:rsidRPr="00252624">
          <w:rPr>
            <w:rFonts w:ascii="Times New Roman" w:eastAsia="Calibri" w:hAnsi="Times New Roman" w:cs="Times New Roman"/>
            <w:color w:val="0563C1"/>
            <w:sz w:val="24"/>
            <w:szCs w:val="24"/>
            <w:u w:val="single"/>
          </w:rPr>
          <w:t>https://oasas.ny.gov/telepractice-waiver-guidance</w:t>
        </w:r>
      </w:hyperlink>
      <w:r w:rsidR="00252624" w:rsidRPr="00252624">
        <w:rPr>
          <w:rFonts w:ascii="Times New Roman" w:eastAsia="Calibri" w:hAnsi="Times New Roman" w:cs="Times New Roman"/>
          <w:sz w:val="24"/>
          <w:szCs w:val="24"/>
        </w:rPr>
        <w:t xml:space="preserve">   </w:t>
      </w:r>
    </w:p>
    <w:p w14:paraId="01BDEE9D" w14:textId="77777777" w:rsidR="00252624" w:rsidRPr="00252624" w:rsidRDefault="00DF0F57" w:rsidP="00252624">
      <w:pPr>
        <w:spacing w:after="0" w:line="240" w:lineRule="auto"/>
        <w:rPr>
          <w:rFonts w:ascii="Times New Roman" w:eastAsia="Calibri" w:hAnsi="Times New Roman" w:cs="Times New Roman"/>
          <w:sz w:val="24"/>
          <w:szCs w:val="24"/>
        </w:rPr>
      </w:pPr>
      <w:hyperlink r:id="rId6" w:history="1">
        <w:r w:rsidR="00252624" w:rsidRPr="00252624">
          <w:rPr>
            <w:rFonts w:ascii="Times New Roman" w:eastAsia="Calibri" w:hAnsi="Times New Roman" w:cs="Times New Roman"/>
            <w:color w:val="0563C1"/>
            <w:sz w:val="24"/>
            <w:szCs w:val="24"/>
            <w:u w:val="single"/>
          </w:rPr>
          <w:t>https://oasas.ny.gov/telepractice-attestation</w:t>
        </w:r>
      </w:hyperlink>
    </w:p>
    <w:p w14:paraId="6E779DA0" w14:textId="77777777" w:rsidR="00252624" w:rsidRPr="00252624" w:rsidRDefault="00DF0F57" w:rsidP="00252624">
      <w:pPr>
        <w:spacing w:after="0" w:line="240" w:lineRule="auto"/>
        <w:rPr>
          <w:rFonts w:ascii="Times New Roman" w:eastAsia="Calibri" w:hAnsi="Times New Roman" w:cs="Times New Roman"/>
          <w:sz w:val="24"/>
          <w:szCs w:val="24"/>
        </w:rPr>
      </w:pPr>
      <w:hyperlink r:id="rId7" w:history="1">
        <w:r w:rsidR="00252624" w:rsidRPr="00252624">
          <w:rPr>
            <w:rFonts w:ascii="Times New Roman" w:eastAsia="Calibri" w:hAnsi="Times New Roman" w:cs="Times New Roman"/>
            <w:color w:val="0563C1"/>
            <w:sz w:val="24"/>
            <w:szCs w:val="24"/>
            <w:u w:val="single"/>
          </w:rPr>
          <w:t>https://oasas.ny.gov/telepractice-waiver-update</w:t>
        </w:r>
      </w:hyperlink>
    </w:p>
    <w:p w14:paraId="7DE703DA" w14:textId="77777777" w:rsidR="00252624" w:rsidRPr="00252624" w:rsidRDefault="00DF0F57" w:rsidP="00252624">
      <w:pPr>
        <w:spacing w:after="0" w:line="240" w:lineRule="auto"/>
        <w:rPr>
          <w:rFonts w:ascii="Times New Roman" w:eastAsia="Calibri" w:hAnsi="Times New Roman" w:cs="Times New Roman"/>
          <w:sz w:val="24"/>
          <w:szCs w:val="24"/>
        </w:rPr>
      </w:pPr>
      <w:hyperlink r:id="rId8" w:history="1">
        <w:r w:rsidR="00252624" w:rsidRPr="00252624">
          <w:rPr>
            <w:rFonts w:ascii="Times New Roman" w:eastAsia="Calibri" w:hAnsi="Times New Roman" w:cs="Times New Roman"/>
            <w:color w:val="0563C1"/>
            <w:sz w:val="24"/>
            <w:szCs w:val="24"/>
            <w:u w:val="single"/>
          </w:rPr>
          <w:t>https://oasas.ny.gov/telepractice-waiver-update-31820</w:t>
        </w:r>
      </w:hyperlink>
    </w:p>
    <w:p w14:paraId="228BB55D" w14:textId="77777777" w:rsidR="00252624" w:rsidRPr="00252624" w:rsidRDefault="00DF0F57" w:rsidP="00252624">
      <w:pPr>
        <w:spacing w:after="0" w:line="240" w:lineRule="auto"/>
        <w:rPr>
          <w:rFonts w:ascii="Times New Roman" w:eastAsia="Calibri" w:hAnsi="Times New Roman" w:cs="Times New Roman"/>
          <w:color w:val="000000"/>
          <w:sz w:val="24"/>
          <w:szCs w:val="24"/>
        </w:rPr>
      </w:pPr>
      <w:hyperlink r:id="rId9" w:history="1">
        <w:r w:rsidR="00252624" w:rsidRPr="00252624">
          <w:rPr>
            <w:rFonts w:ascii="Times New Roman" w:eastAsia="Calibri" w:hAnsi="Times New Roman" w:cs="Times New Roman"/>
            <w:color w:val="0563C1"/>
            <w:sz w:val="24"/>
            <w:szCs w:val="24"/>
            <w:u w:val="single"/>
          </w:rPr>
          <w:t>https://oasas.ny.gov/telepractice-faqs</w:t>
        </w:r>
      </w:hyperlink>
      <w:r w:rsidR="00252624" w:rsidRPr="00252624">
        <w:rPr>
          <w:rFonts w:ascii="Times New Roman" w:eastAsia="Calibri" w:hAnsi="Times New Roman" w:cs="Times New Roman"/>
          <w:color w:val="000000"/>
          <w:sz w:val="24"/>
          <w:szCs w:val="24"/>
        </w:rPr>
        <w:t> </w:t>
      </w:r>
    </w:p>
    <w:p w14:paraId="64B96B4D" w14:textId="77777777" w:rsidR="00252624" w:rsidRPr="00252624" w:rsidRDefault="00252624" w:rsidP="00252624">
      <w:pPr>
        <w:spacing w:after="0" w:line="240" w:lineRule="auto"/>
        <w:rPr>
          <w:rFonts w:ascii="Calibri" w:eastAsia="Calibri" w:hAnsi="Calibri" w:cs="Calibri"/>
        </w:rPr>
      </w:pPr>
    </w:p>
    <w:p w14:paraId="1F732B81" w14:textId="7D07C5CD" w:rsidR="00252624" w:rsidRDefault="006A4A27" w:rsidP="00445734">
      <w:pPr>
        <w:spacing w:after="0"/>
        <w:rPr>
          <w:b/>
          <w:bCs/>
        </w:rPr>
      </w:pPr>
      <w:r>
        <w:rPr>
          <w:b/>
          <w:bCs/>
        </w:rPr>
        <w:t>Additional COVID-19 guidance for OTPs:</w:t>
      </w:r>
    </w:p>
    <w:p w14:paraId="2E3C37D8" w14:textId="2858A86E" w:rsidR="006A4A27" w:rsidRDefault="00DF0F57" w:rsidP="00445734">
      <w:pPr>
        <w:spacing w:after="0"/>
        <w:rPr>
          <w:rStyle w:val="Hyperlink"/>
          <w:color w:val="2F5496" w:themeColor="accent1" w:themeShade="BF"/>
        </w:rPr>
      </w:pPr>
      <w:hyperlink r:id="rId10" w:history="1">
        <w:r w:rsidR="006A4A27" w:rsidRPr="006A4A27">
          <w:rPr>
            <w:rStyle w:val="Hyperlink"/>
            <w:color w:val="2F5496" w:themeColor="accent1" w:themeShade="BF"/>
          </w:rPr>
          <w:t>https://oasas.ny.gov/system/files/documents/2020/03/3-10-2020-covid-19-guidance-for-otp.pdf</w:t>
        </w:r>
      </w:hyperlink>
    </w:p>
    <w:p w14:paraId="6C423A0F" w14:textId="43BA30D5" w:rsidR="00AE49BA" w:rsidRDefault="00AE49BA" w:rsidP="00445734">
      <w:pPr>
        <w:spacing w:after="0"/>
        <w:rPr>
          <w:rStyle w:val="Hyperlink"/>
          <w:color w:val="2F5496" w:themeColor="accent1" w:themeShade="BF"/>
        </w:rPr>
      </w:pPr>
    </w:p>
    <w:p w14:paraId="58F03E0F" w14:textId="4BB3469E" w:rsidR="00AE49BA" w:rsidRDefault="00AE49BA" w:rsidP="00445734">
      <w:pPr>
        <w:spacing w:after="0"/>
        <w:rPr>
          <w:rStyle w:val="Hyperlink"/>
          <w:b/>
          <w:bCs/>
          <w:color w:val="2F5496" w:themeColor="accent1" w:themeShade="BF"/>
          <w:u w:val="none"/>
        </w:rPr>
      </w:pPr>
      <w:r>
        <w:rPr>
          <w:rStyle w:val="Hyperlink"/>
          <w:b/>
          <w:bCs/>
          <w:color w:val="2F5496" w:themeColor="accent1" w:themeShade="BF"/>
          <w:u w:val="none"/>
        </w:rPr>
        <w:t>Summary Table of New COVID-19 Rate Codes</w:t>
      </w:r>
    </w:p>
    <w:p w14:paraId="37A8FC5B" w14:textId="77777777" w:rsidR="00AE49BA" w:rsidRDefault="00AE49BA" w:rsidP="00445734">
      <w:pPr>
        <w:spacing w:after="0"/>
        <w:rPr>
          <w:rStyle w:val="Hyperlink"/>
          <w:b/>
          <w:bCs/>
          <w:color w:val="2F5496" w:themeColor="accent1" w:themeShade="BF"/>
          <w:u w:val="none"/>
        </w:rPr>
      </w:pPr>
    </w:p>
    <w:tbl>
      <w:tblPr>
        <w:tblStyle w:val="TableGrid"/>
        <w:tblW w:w="10440" w:type="dxa"/>
        <w:tblInd w:w="-275" w:type="dxa"/>
        <w:tblLook w:val="04A0" w:firstRow="1" w:lastRow="0" w:firstColumn="1" w:lastColumn="0" w:noHBand="0" w:noVBand="1"/>
      </w:tblPr>
      <w:tblGrid>
        <w:gridCol w:w="4500"/>
        <w:gridCol w:w="898"/>
        <w:gridCol w:w="1622"/>
        <w:gridCol w:w="3420"/>
      </w:tblGrid>
      <w:tr w:rsidR="00AE49BA" w:rsidRPr="00EB6BF9" w14:paraId="4CCE29FA" w14:textId="77777777" w:rsidTr="00BD3771">
        <w:trPr>
          <w:trHeight w:val="1296"/>
        </w:trPr>
        <w:tc>
          <w:tcPr>
            <w:tcW w:w="10440" w:type="dxa"/>
            <w:gridSpan w:val="4"/>
            <w:shd w:val="clear" w:color="auto" w:fill="D9D9D9" w:themeFill="background1" w:themeFillShade="D9"/>
            <w:vAlign w:val="center"/>
          </w:tcPr>
          <w:p w14:paraId="22AA710E" w14:textId="7F56E152" w:rsidR="00AE49BA" w:rsidRPr="001D4049" w:rsidRDefault="00AE49BA" w:rsidP="00BD3771">
            <w:pPr>
              <w:pStyle w:val="ListParagraph"/>
              <w:jc w:val="center"/>
              <w:rPr>
                <w:rFonts w:ascii="Arial" w:hAnsi="Arial" w:cs="Arial"/>
                <w:b/>
                <w:bCs/>
                <w:sz w:val="24"/>
                <w:szCs w:val="24"/>
              </w:rPr>
            </w:pPr>
            <w:r w:rsidRPr="001D4049">
              <w:rPr>
                <w:rFonts w:ascii="Arial" w:hAnsi="Arial" w:cs="Arial"/>
                <w:b/>
                <w:bCs/>
                <w:sz w:val="24"/>
                <w:szCs w:val="24"/>
              </w:rPr>
              <w:t xml:space="preserve">OASAS OTP </w:t>
            </w:r>
            <w:r w:rsidRPr="001D4049">
              <w:rPr>
                <w:b/>
                <w:bCs/>
                <w:sz w:val="26"/>
                <w:szCs w:val="26"/>
              </w:rPr>
              <w:t xml:space="preserve">COVID-19 Emergency Rate Codes </w:t>
            </w:r>
            <w:r w:rsidRPr="001D4049">
              <w:rPr>
                <w:rFonts w:ascii="Arial" w:hAnsi="Arial" w:cs="Arial"/>
                <w:b/>
                <w:bCs/>
                <w:sz w:val="24"/>
                <w:szCs w:val="24"/>
              </w:rPr>
              <w:br/>
            </w:r>
          </w:p>
          <w:p w14:paraId="03489E98" w14:textId="4CDFC400" w:rsidR="00AE49BA" w:rsidRPr="00AE49BA" w:rsidRDefault="00AE49BA" w:rsidP="00AE49BA">
            <w:pPr>
              <w:pStyle w:val="ListParagraph"/>
              <w:numPr>
                <w:ilvl w:val="0"/>
                <w:numId w:val="2"/>
              </w:numPr>
              <w:rPr>
                <w:rFonts w:ascii="Arial" w:hAnsi="Arial" w:cs="Arial"/>
                <w:sz w:val="24"/>
                <w:szCs w:val="24"/>
              </w:rPr>
            </w:pPr>
            <w:r w:rsidRPr="00CA079E">
              <w:rPr>
                <w:rFonts w:ascii="Arial" w:hAnsi="Arial" w:cs="Arial"/>
                <w:b/>
                <w:bCs/>
                <w:sz w:val="24"/>
                <w:szCs w:val="24"/>
                <w:u w:val="single"/>
              </w:rPr>
              <w:t xml:space="preserve"> IMPORTANT </w:t>
            </w:r>
            <w:r>
              <w:rPr>
                <w:rFonts w:ascii="Arial" w:hAnsi="Arial" w:cs="Arial"/>
                <w:sz w:val="24"/>
                <w:szCs w:val="24"/>
              </w:rPr>
              <w:t xml:space="preserve"> The OTP Codes </w:t>
            </w:r>
            <w:r w:rsidRPr="005F7D24">
              <w:rPr>
                <w:rFonts w:ascii="Arial" w:hAnsi="Arial" w:cs="Arial"/>
                <w:b/>
                <w:bCs/>
                <w:sz w:val="24"/>
                <w:szCs w:val="24"/>
                <w:u w:val="single"/>
              </w:rPr>
              <w:t>ARE NOT</w:t>
            </w:r>
            <w:r>
              <w:rPr>
                <w:rFonts w:ascii="Arial" w:hAnsi="Arial" w:cs="Arial"/>
                <w:sz w:val="24"/>
                <w:szCs w:val="24"/>
              </w:rPr>
              <w:t xml:space="preserve"> included in the New York State APG Grouper / </w:t>
            </w:r>
            <w:proofErr w:type="spellStart"/>
            <w:r>
              <w:rPr>
                <w:rFonts w:ascii="Arial" w:hAnsi="Arial" w:cs="Arial"/>
                <w:sz w:val="24"/>
                <w:szCs w:val="24"/>
              </w:rPr>
              <w:t>eMedNY</w:t>
            </w:r>
            <w:proofErr w:type="spellEnd"/>
            <w:r>
              <w:rPr>
                <w:rFonts w:ascii="Arial" w:hAnsi="Arial" w:cs="Arial"/>
                <w:sz w:val="24"/>
                <w:szCs w:val="24"/>
              </w:rPr>
              <w:t xml:space="preserve"> System and </w:t>
            </w:r>
            <w:r w:rsidRPr="00AE49BA">
              <w:rPr>
                <w:rFonts w:ascii="Arial" w:hAnsi="Arial" w:cs="Arial"/>
                <w:sz w:val="24"/>
                <w:szCs w:val="24"/>
              </w:rPr>
              <w:t xml:space="preserve">Medicaid Managed Care plans  </w:t>
            </w:r>
            <w:r w:rsidRPr="00AE49BA">
              <w:rPr>
                <w:rFonts w:ascii="Arial" w:hAnsi="Arial" w:cs="Arial"/>
                <w:b/>
                <w:bCs/>
                <w:sz w:val="24"/>
                <w:szCs w:val="24"/>
              </w:rPr>
              <w:t>must configure the providers’ claiming profile to ensure they are  correctly configured to include the new OTP rate codes</w:t>
            </w:r>
          </w:p>
          <w:p w14:paraId="13F8D9F4" w14:textId="77777777" w:rsidR="00AE49BA" w:rsidRPr="00EB6BF9" w:rsidRDefault="00AE49BA" w:rsidP="00BD3771">
            <w:pPr>
              <w:pStyle w:val="ListParagraph"/>
              <w:rPr>
                <w:rFonts w:ascii="Arial" w:hAnsi="Arial" w:cs="Arial"/>
                <w:b/>
                <w:color w:val="000000"/>
              </w:rPr>
            </w:pPr>
          </w:p>
        </w:tc>
      </w:tr>
      <w:tr w:rsidR="00AE49BA" w:rsidRPr="00EB6BF9" w14:paraId="14D0FB35" w14:textId="77777777" w:rsidTr="00BD3771">
        <w:trPr>
          <w:trHeight w:val="1296"/>
        </w:trPr>
        <w:tc>
          <w:tcPr>
            <w:tcW w:w="4500" w:type="dxa"/>
            <w:shd w:val="clear" w:color="auto" w:fill="D9D9D9" w:themeFill="background1" w:themeFillShade="D9"/>
            <w:vAlign w:val="center"/>
          </w:tcPr>
          <w:p w14:paraId="1C2D3F7A" w14:textId="77777777" w:rsidR="00AE49BA" w:rsidRDefault="00AE49BA" w:rsidP="00BD3771">
            <w:pPr>
              <w:pStyle w:val="NormalWeb"/>
              <w:jc w:val="center"/>
              <w:rPr>
                <w:rFonts w:ascii="Arial" w:hAnsi="Arial" w:cs="Arial"/>
                <w:b/>
                <w:color w:val="000000"/>
              </w:rPr>
            </w:pPr>
            <w:r>
              <w:rPr>
                <w:rFonts w:ascii="Arial" w:hAnsi="Arial" w:cs="Arial"/>
                <w:b/>
                <w:color w:val="000000"/>
              </w:rPr>
              <w:t>Rate Code Description</w:t>
            </w:r>
          </w:p>
          <w:p w14:paraId="0EE8F521" w14:textId="77777777" w:rsidR="00AE49BA" w:rsidRPr="00EB6BF9" w:rsidRDefault="00AE49BA" w:rsidP="00BD3771">
            <w:pPr>
              <w:pStyle w:val="NormalWeb"/>
              <w:jc w:val="center"/>
              <w:rPr>
                <w:rFonts w:ascii="Arial" w:hAnsi="Arial" w:cs="Arial"/>
                <w:b/>
                <w:color w:val="000000"/>
              </w:rPr>
            </w:pPr>
            <w:r>
              <w:rPr>
                <w:rFonts w:ascii="Arial" w:hAnsi="Arial" w:cs="Arial"/>
                <w:b/>
                <w:color w:val="000000"/>
              </w:rPr>
              <w:t xml:space="preserve">OASAS OTP </w:t>
            </w:r>
          </w:p>
        </w:tc>
        <w:tc>
          <w:tcPr>
            <w:tcW w:w="898" w:type="dxa"/>
            <w:shd w:val="clear" w:color="auto" w:fill="D9D9D9" w:themeFill="background1" w:themeFillShade="D9"/>
            <w:vAlign w:val="center"/>
          </w:tcPr>
          <w:p w14:paraId="1A10A33F" w14:textId="77777777" w:rsidR="00AE49BA" w:rsidRPr="00EB6BF9" w:rsidRDefault="00AE49BA" w:rsidP="00BD3771">
            <w:pPr>
              <w:pStyle w:val="NormalWeb"/>
              <w:jc w:val="center"/>
              <w:rPr>
                <w:rFonts w:ascii="Arial" w:hAnsi="Arial" w:cs="Arial"/>
                <w:b/>
                <w:color w:val="000000"/>
              </w:rPr>
            </w:pPr>
            <w:r>
              <w:rPr>
                <w:rFonts w:ascii="Arial" w:hAnsi="Arial" w:cs="Arial"/>
                <w:b/>
                <w:color w:val="000000"/>
              </w:rPr>
              <w:t xml:space="preserve">Rate Code </w:t>
            </w:r>
          </w:p>
        </w:tc>
        <w:tc>
          <w:tcPr>
            <w:tcW w:w="1622" w:type="dxa"/>
            <w:shd w:val="clear" w:color="auto" w:fill="D9D9D9" w:themeFill="background1" w:themeFillShade="D9"/>
            <w:vAlign w:val="center"/>
          </w:tcPr>
          <w:p w14:paraId="0B535A78" w14:textId="77777777" w:rsidR="00AE49BA" w:rsidRPr="00EB6BF9" w:rsidRDefault="00AE49BA" w:rsidP="00BD3771">
            <w:pPr>
              <w:pStyle w:val="NormalWeb"/>
              <w:rPr>
                <w:rFonts w:ascii="Arial" w:hAnsi="Arial" w:cs="Arial"/>
                <w:b/>
                <w:color w:val="000000"/>
              </w:rPr>
            </w:pPr>
            <w:r>
              <w:rPr>
                <w:rFonts w:ascii="Arial" w:hAnsi="Arial" w:cs="Arial"/>
                <w:b/>
                <w:color w:val="000000"/>
              </w:rPr>
              <w:t xml:space="preserve">COS /Type </w:t>
            </w:r>
          </w:p>
        </w:tc>
        <w:tc>
          <w:tcPr>
            <w:tcW w:w="3420" w:type="dxa"/>
            <w:shd w:val="clear" w:color="auto" w:fill="D9D9D9" w:themeFill="background1" w:themeFillShade="D9"/>
            <w:vAlign w:val="center"/>
          </w:tcPr>
          <w:p w14:paraId="17C25203" w14:textId="77777777" w:rsidR="00AE49BA" w:rsidRPr="00EB6BF9" w:rsidRDefault="00AE49BA" w:rsidP="00BD3771">
            <w:pPr>
              <w:pStyle w:val="NormalWeb"/>
              <w:jc w:val="center"/>
              <w:rPr>
                <w:rFonts w:ascii="Arial" w:hAnsi="Arial" w:cs="Arial"/>
                <w:b/>
                <w:color w:val="000000"/>
              </w:rPr>
            </w:pPr>
            <w:r>
              <w:rPr>
                <w:rFonts w:ascii="Arial" w:hAnsi="Arial" w:cs="Arial"/>
                <w:b/>
                <w:color w:val="000000"/>
              </w:rPr>
              <w:t xml:space="preserve">Payment </w:t>
            </w:r>
          </w:p>
        </w:tc>
      </w:tr>
      <w:tr w:rsidR="00AE49BA" w:rsidRPr="00EB6BF9" w14:paraId="341B33CA" w14:textId="77777777" w:rsidTr="00BD3771">
        <w:trPr>
          <w:trHeight w:val="298"/>
        </w:trPr>
        <w:tc>
          <w:tcPr>
            <w:tcW w:w="4500" w:type="dxa"/>
            <w:vMerge w:val="restart"/>
            <w:vAlign w:val="center"/>
          </w:tcPr>
          <w:p w14:paraId="3041E9FC" w14:textId="77777777" w:rsidR="00AE49BA" w:rsidRPr="00BA0C1C" w:rsidRDefault="00AE49BA" w:rsidP="00BD3771">
            <w:pPr>
              <w:rPr>
                <w:b/>
              </w:rPr>
            </w:pPr>
            <w:r w:rsidRPr="00BA0C1C">
              <w:rPr>
                <w:b/>
              </w:rPr>
              <w:t>Methadone Dispensing or Counseling, Rate of Payment $207.49</w:t>
            </w:r>
            <w:r>
              <w:rPr>
                <w:b/>
              </w:rPr>
              <w:t xml:space="preserve"> per Week</w:t>
            </w:r>
          </w:p>
          <w:p w14:paraId="6BBA3831" w14:textId="77777777" w:rsidR="00AE49BA" w:rsidRPr="008B5D89" w:rsidRDefault="00AE49BA" w:rsidP="00BD3771">
            <w:pPr>
              <w:pStyle w:val="NormalWeb"/>
              <w:rPr>
                <w:rFonts w:ascii="Arial" w:hAnsi="Arial" w:cs="Arial"/>
                <w:color w:val="000000"/>
              </w:rPr>
            </w:pPr>
          </w:p>
        </w:tc>
        <w:tc>
          <w:tcPr>
            <w:tcW w:w="898" w:type="dxa"/>
          </w:tcPr>
          <w:p w14:paraId="620AB339" w14:textId="77777777" w:rsidR="00AE49BA" w:rsidRPr="00EB6BF9" w:rsidRDefault="00AE49BA" w:rsidP="00BD3771">
            <w:pPr>
              <w:pStyle w:val="NormalWeb"/>
              <w:jc w:val="center"/>
              <w:rPr>
                <w:rFonts w:ascii="Arial" w:hAnsi="Arial" w:cs="Arial"/>
                <w:color w:val="000000"/>
              </w:rPr>
            </w:pPr>
            <w:r>
              <w:rPr>
                <w:rFonts w:ascii="Arial" w:hAnsi="Arial" w:cs="Arial"/>
                <w:color w:val="000000"/>
              </w:rPr>
              <w:t>7969</w:t>
            </w:r>
          </w:p>
        </w:tc>
        <w:tc>
          <w:tcPr>
            <w:tcW w:w="1622" w:type="dxa"/>
          </w:tcPr>
          <w:p w14:paraId="4F8A82A0" w14:textId="77777777" w:rsidR="00AE49BA" w:rsidRDefault="00AE49BA" w:rsidP="00BD3771">
            <w:pPr>
              <w:pStyle w:val="NormalWeb"/>
              <w:jc w:val="center"/>
              <w:rPr>
                <w:rFonts w:ascii="Arial" w:hAnsi="Arial" w:cs="Arial"/>
                <w:color w:val="000000"/>
              </w:rPr>
            </w:pPr>
            <w:r>
              <w:rPr>
                <w:rFonts w:ascii="Arial" w:hAnsi="Arial" w:cs="Arial"/>
                <w:color w:val="000000"/>
              </w:rPr>
              <w:t xml:space="preserve">0160 </w:t>
            </w:r>
          </w:p>
          <w:p w14:paraId="0FC203B4" w14:textId="77777777" w:rsidR="00AE49BA" w:rsidRPr="00EB6BF9" w:rsidRDefault="00AE49BA" w:rsidP="00BD3771">
            <w:pPr>
              <w:pStyle w:val="NormalWeb"/>
              <w:jc w:val="center"/>
              <w:rPr>
                <w:rFonts w:ascii="Arial" w:hAnsi="Arial" w:cs="Arial"/>
                <w:color w:val="000000"/>
              </w:rPr>
            </w:pPr>
            <w:r>
              <w:rPr>
                <w:rFonts w:ascii="Arial" w:hAnsi="Arial" w:cs="Arial"/>
                <w:color w:val="000000"/>
              </w:rPr>
              <w:t xml:space="preserve">Freestanding </w:t>
            </w:r>
          </w:p>
        </w:tc>
        <w:tc>
          <w:tcPr>
            <w:tcW w:w="3420" w:type="dxa"/>
          </w:tcPr>
          <w:p w14:paraId="2114C01F" w14:textId="77777777" w:rsidR="00AE49BA" w:rsidRPr="00EB6BF9" w:rsidRDefault="00AE49BA" w:rsidP="00BD3771">
            <w:pPr>
              <w:pStyle w:val="NormalWeb"/>
              <w:jc w:val="center"/>
              <w:rPr>
                <w:rFonts w:ascii="Arial" w:hAnsi="Arial" w:cs="Arial"/>
                <w:color w:val="000000"/>
              </w:rPr>
            </w:pPr>
            <w:r>
              <w:rPr>
                <w:rFonts w:ascii="Arial" w:hAnsi="Arial" w:cs="Arial"/>
                <w:color w:val="000000"/>
              </w:rPr>
              <w:t>$207.49/week</w:t>
            </w:r>
          </w:p>
        </w:tc>
      </w:tr>
      <w:tr w:rsidR="00AE49BA" w:rsidRPr="00EB6BF9" w14:paraId="4D05FA76" w14:textId="77777777" w:rsidTr="00BD3771">
        <w:trPr>
          <w:trHeight w:val="298"/>
        </w:trPr>
        <w:tc>
          <w:tcPr>
            <w:tcW w:w="4500" w:type="dxa"/>
            <w:vMerge/>
            <w:vAlign w:val="center"/>
          </w:tcPr>
          <w:p w14:paraId="129E8DA6" w14:textId="77777777" w:rsidR="00AE49BA" w:rsidRPr="008B5D89" w:rsidRDefault="00AE49BA" w:rsidP="00BD3771">
            <w:pPr>
              <w:pStyle w:val="NormalWeb"/>
              <w:rPr>
                <w:rFonts w:ascii="Arial" w:hAnsi="Arial" w:cs="Arial"/>
                <w:color w:val="000000"/>
              </w:rPr>
            </w:pPr>
          </w:p>
        </w:tc>
        <w:tc>
          <w:tcPr>
            <w:tcW w:w="898" w:type="dxa"/>
          </w:tcPr>
          <w:p w14:paraId="67ACD4CC" w14:textId="77777777" w:rsidR="00AE49BA" w:rsidRPr="00EB6BF9" w:rsidRDefault="00AE49BA" w:rsidP="00BD3771">
            <w:pPr>
              <w:pStyle w:val="NormalWeb"/>
              <w:jc w:val="center"/>
              <w:rPr>
                <w:rFonts w:ascii="Arial" w:hAnsi="Arial" w:cs="Arial"/>
                <w:color w:val="000000"/>
              </w:rPr>
            </w:pPr>
            <w:r>
              <w:rPr>
                <w:rFonts w:ascii="Arial" w:hAnsi="Arial" w:cs="Arial"/>
                <w:color w:val="000000"/>
              </w:rPr>
              <w:t>7973</w:t>
            </w:r>
          </w:p>
        </w:tc>
        <w:tc>
          <w:tcPr>
            <w:tcW w:w="1622" w:type="dxa"/>
          </w:tcPr>
          <w:p w14:paraId="6C6C787D" w14:textId="77777777" w:rsidR="00AE49BA" w:rsidRDefault="00AE49BA" w:rsidP="00BD3771">
            <w:pPr>
              <w:pStyle w:val="NormalWeb"/>
              <w:jc w:val="center"/>
              <w:rPr>
                <w:rFonts w:ascii="Arial" w:hAnsi="Arial" w:cs="Arial"/>
                <w:color w:val="000000"/>
              </w:rPr>
            </w:pPr>
            <w:r>
              <w:rPr>
                <w:rFonts w:ascii="Arial" w:hAnsi="Arial" w:cs="Arial"/>
                <w:color w:val="000000"/>
              </w:rPr>
              <w:t>0287</w:t>
            </w:r>
          </w:p>
          <w:p w14:paraId="18574035" w14:textId="77777777" w:rsidR="00AE49BA" w:rsidRPr="00EB6BF9" w:rsidRDefault="00AE49BA" w:rsidP="00BD3771">
            <w:pPr>
              <w:pStyle w:val="NormalWeb"/>
              <w:jc w:val="center"/>
              <w:rPr>
                <w:rFonts w:ascii="Arial" w:hAnsi="Arial" w:cs="Arial"/>
                <w:color w:val="000000"/>
              </w:rPr>
            </w:pPr>
            <w:r>
              <w:rPr>
                <w:rFonts w:ascii="Arial" w:hAnsi="Arial" w:cs="Arial"/>
                <w:color w:val="000000"/>
              </w:rPr>
              <w:t xml:space="preserve">Hospital </w:t>
            </w:r>
          </w:p>
        </w:tc>
        <w:tc>
          <w:tcPr>
            <w:tcW w:w="3420" w:type="dxa"/>
          </w:tcPr>
          <w:p w14:paraId="66470133" w14:textId="77777777" w:rsidR="00AE49BA" w:rsidRPr="00EB6BF9" w:rsidRDefault="00AE49BA" w:rsidP="00BD3771">
            <w:pPr>
              <w:pStyle w:val="NormalWeb"/>
              <w:jc w:val="center"/>
              <w:rPr>
                <w:rFonts w:ascii="Arial" w:hAnsi="Arial" w:cs="Arial"/>
                <w:color w:val="000000"/>
              </w:rPr>
            </w:pPr>
            <w:r>
              <w:rPr>
                <w:rFonts w:ascii="Arial" w:hAnsi="Arial" w:cs="Arial"/>
                <w:color w:val="000000"/>
              </w:rPr>
              <w:t xml:space="preserve">$207.49/week </w:t>
            </w:r>
          </w:p>
        </w:tc>
      </w:tr>
      <w:tr w:rsidR="00AE49BA" w:rsidRPr="00EB6BF9" w14:paraId="421354FC" w14:textId="77777777" w:rsidTr="00BD3771">
        <w:trPr>
          <w:trHeight w:val="298"/>
        </w:trPr>
        <w:tc>
          <w:tcPr>
            <w:tcW w:w="4500" w:type="dxa"/>
            <w:vMerge w:val="restart"/>
            <w:vAlign w:val="bottom"/>
          </w:tcPr>
          <w:p w14:paraId="79666126" w14:textId="77777777" w:rsidR="00AE49BA" w:rsidRPr="00C63B07" w:rsidRDefault="00AE49BA" w:rsidP="00BD3771">
            <w:pPr>
              <w:rPr>
                <w:b/>
              </w:rPr>
            </w:pPr>
            <w:r>
              <w:rPr>
                <w:b/>
              </w:rPr>
              <w:t xml:space="preserve">Methadone Administration, Rate of Payment </w:t>
            </w:r>
            <w:r w:rsidRPr="00C63B07">
              <w:rPr>
                <w:b/>
              </w:rPr>
              <w:t>$35.28</w:t>
            </w:r>
            <w:r>
              <w:rPr>
                <w:b/>
              </w:rPr>
              <w:t xml:space="preserve"> per Week</w:t>
            </w:r>
          </w:p>
          <w:p w14:paraId="67A9D84D" w14:textId="77777777" w:rsidR="00AE49BA" w:rsidRPr="008B5D89" w:rsidRDefault="00AE49BA" w:rsidP="00BD3771">
            <w:pPr>
              <w:pStyle w:val="NormalWeb"/>
              <w:rPr>
                <w:rFonts w:ascii="Arial" w:hAnsi="Arial" w:cs="Arial"/>
                <w:color w:val="000000"/>
              </w:rPr>
            </w:pPr>
          </w:p>
        </w:tc>
        <w:tc>
          <w:tcPr>
            <w:tcW w:w="898" w:type="dxa"/>
            <w:vAlign w:val="center"/>
          </w:tcPr>
          <w:p w14:paraId="79DBF895" w14:textId="77777777" w:rsidR="00AE49BA" w:rsidRPr="00EB6BF9" w:rsidRDefault="00AE49BA" w:rsidP="00BD3771">
            <w:pPr>
              <w:pStyle w:val="NormalWeb"/>
              <w:jc w:val="center"/>
              <w:rPr>
                <w:rFonts w:ascii="Arial" w:hAnsi="Arial" w:cs="Arial"/>
                <w:color w:val="000000"/>
              </w:rPr>
            </w:pPr>
            <w:r>
              <w:rPr>
                <w:rFonts w:ascii="Arial" w:hAnsi="Arial" w:cs="Arial"/>
                <w:color w:val="000000"/>
              </w:rPr>
              <w:t>7970</w:t>
            </w:r>
          </w:p>
        </w:tc>
        <w:tc>
          <w:tcPr>
            <w:tcW w:w="1622" w:type="dxa"/>
          </w:tcPr>
          <w:p w14:paraId="06DC5A94" w14:textId="77777777" w:rsidR="00AE49BA" w:rsidRDefault="00AE49BA" w:rsidP="00BD3771">
            <w:pPr>
              <w:pStyle w:val="NormalWeb"/>
              <w:jc w:val="center"/>
              <w:rPr>
                <w:rFonts w:ascii="Arial" w:hAnsi="Arial" w:cs="Arial"/>
                <w:color w:val="000000"/>
              </w:rPr>
            </w:pPr>
            <w:r>
              <w:rPr>
                <w:rFonts w:ascii="Arial" w:hAnsi="Arial" w:cs="Arial"/>
                <w:color w:val="000000"/>
              </w:rPr>
              <w:t xml:space="preserve">0160 </w:t>
            </w:r>
          </w:p>
          <w:p w14:paraId="4E8B895A" w14:textId="77777777" w:rsidR="00AE49BA" w:rsidRPr="00EB6BF9" w:rsidRDefault="00AE49BA" w:rsidP="00BD3771">
            <w:pPr>
              <w:pStyle w:val="NormalWeb"/>
              <w:jc w:val="center"/>
              <w:rPr>
                <w:rFonts w:ascii="Arial" w:hAnsi="Arial" w:cs="Arial"/>
                <w:color w:val="000000"/>
              </w:rPr>
            </w:pPr>
            <w:r>
              <w:rPr>
                <w:rFonts w:ascii="Arial" w:hAnsi="Arial" w:cs="Arial"/>
                <w:color w:val="000000"/>
              </w:rPr>
              <w:t xml:space="preserve">Freestanding </w:t>
            </w:r>
          </w:p>
        </w:tc>
        <w:tc>
          <w:tcPr>
            <w:tcW w:w="3420" w:type="dxa"/>
            <w:vAlign w:val="center"/>
          </w:tcPr>
          <w:p w14:paraId="5A211444" w14:textId="77777777" w:rsidR="00AE49BA" w:rsidRPr="00EB6BF9" w:rsidRDefault="00AE49BA" w:rsidP="00BD3771">
            <w:pPr>
              <w:pStyle w:val="NormalWeb"/>
              <w:jc w:val="center"/>
              <w:rPr>
                <w:rFonts w:ascii="Arial" w:hAnsi="Arial" w:cs="Arial"/>
                <w:color w:val="000000"/>
              </w:rPr>
            </w:pPr>
            <w:r>
              <w:rPr>
                <w:rFonts w:ascii="Arial" w:hAnsi="Arial" w:cs="Arial"/>
                <w:color w:val="000000"/>
              </w:rPr>
              <w:t>$35.28/week</w:t>
            </w:r>
          </w:p>
        </w:tc>
      </w:tr>
      <w:tr w:rsidR="00AE49BA" w:rsidRPr="00EB6BF9" w14:paraId="3E02814E" w14:textId="77777777" w:rsidTr="00BD3771">
        <w:trPr>
          <w:trHeight w:val="298"/>
        </w:trPr>
        <w:tc>
          <w:tcPr>
            <w:tcW w:w="4500" w:type="dxa"/>
            <w:vMerge/>
            <w:vAlign w:val="center"/>
          </w:tcPr>
          <w:p w14:paraId="7AB0310B" w14:textId="77777777" w:rsidR="00AE49BA" w:rsidRPr="008B5D89" w:rsidRDefault="00AE49BA" w:rsidP="00BD3771">
            <w:pPr>
              <w:pStyle w:val="NormalWeb"/>
              <w:rPr>
                <w:rFonts w:ascii="Arial" w:hAnsi="Arial" w:cs="Arial"/>
                <w:color w:val="000000"/>
              </w:rPr>
            </w:pPr>
          </w:p>
        </w:tc>
        <w:tc>
          <w:tcPr>
            <w:tcW w:w="898" w:type="dxa"/>
            <w:vAlign w:val="center"/>
          </w:tcPr>
          <w:p w14:paraId="5456699B" w14:textId="77777777" w:rsidR="00AE49BA" w:rsidRPr="00EB6BF9" w:rsidRDefault="00AE49BA" w:rsidP="00BD3771">
            <w:pPr>
              <w:pStyle w:val="NormalWeb"/>
              <w:jc w:val="center"/>
              <w:rPr>
                <w:rFonts w:ascii="Arial" w:hAnsi="Arial" w:cs="Arial"/>
                <w:color w:val="000000"/>
              </w:rPr>
            </w:pPr>
            <w:r>
              <w:rPr>
                <w:rFonts w:ascii="Arial" w:hAnsi="Arial" w:cs="Arial"/>
                <w:color w:val="000000"/>
              </w:rPr>
              <w:t>7974</w:t>
            </w:r>
          </w:p>
        </w:tc>
        <w:tc>
          <w:tcPr>
            <w:tcW w:w="1622" w:type="dxa"/>
          </w:tcPr>
          <w:p w14:paraId="121E4DD5" w14:textId="77777777" w:rsidR="00AE49BA" w:rsidRDefault="00AE49BA" w:rsidP="00BD3771">
            <w:pPr>
              <w:pStyle w:val="NormalWeb"/>
              <w:jc w:val="center"/>
              <w:rPr>
                <w:rFonts w:ascii="Arial" w:hAnsi="Arial" w:cs="Arial"/>
                <w:color w:val="000000"/>
              </w:rPr>
            </w:pPr>
            <w:r>
              <w:rPr>
                <w:rFonts w:ascii="Arial" w:hAnsi="Arial" w:cs="Arial"/>
                <w:color w:val="000000"/>
              </w:rPr>
              <w:t>0287</w:t>
            </w:r>
          </w:p>
          <w:p w14:paraId="2F9C94C9" w14:textId="77777777" w:rsidR="00AE49BA" w:rsidRPr="00EB6BF9" w:rsidRDefault="00AE49BA" w:rsidP="00BD3771">
            <w:pPr>
              <w:pStyle w:val="NormalWeb"/>
              <w:jc w:val="center"/>
              <w:rPr>
                <w:rFonts w:ascii="Arial" w:hAnsi="Arial" w:cs="Arial"/>
                <w:color w:val="000000"/>
              </w:rPr>
            </w:pPr>
            <w:r>
              <w:rPr>
                <w:rFonts w:ascii="Arial" w:hAnsi="Arial" w:cs="Arial"/>
                <w:color w:val="000000"/>
              </w:rPr>
              <w:t xml:space="preserve">Hospital </w:t>
            </w:r>
          </w:p>
        </w:tc>
        <w:tc>
          <w:tcPr>
            <w:tcW w:w="3420" w:type="dxa"/>
            <w:vAlign w:val="center"/>
          </w:tcPr>
          <w:p w14:paraId="2504A389" w14:textId="77777777" w:rsidR="00AE49BA" w:rsidRPr="00EB6BF9" w:rsidRDefault="00AE49BA" w:rsidP="00BD3771">
            <w:pPr>
              <w:pStyle w:val="NormalWeb"/>
              <w:jc w:val="center"/>
              <w:rPr>
                <w:rFonts w:ascii="Arial" w:hAnsi="Arial" w:cs="Arial"/>
                <w:color w:val="000000"/>
              </w:rPr>
            </w:pPr>
            <w:r>
              <w:rPr>
                <w:rFonts w:ascii="Arial" w:hAnsi="Arial" w:cs="Arial"/>
                <w:color w:val="000000"/>
              </w:rPr>
              <w:t>$35.28/week</w:t>
            </w:r>
          </w:p>
        </w:tc>
      </w:tr>
      <w:tr w:rsidR="00AE49BA" w:rsidRPr="00EB6BF9" w14:paraId="4FCFB224" w14:textId="77777777" w:rsidTr="00BD3771">
        <w:trPr>
          <w:trHeight w:val="211"/>
        </w:trPr>
        <w:tc>
          <w:tcPr>
            <w:tcW w:w="4500" w:type="dxa"/>
            <w:vMerge w:val="restart"/>
            <w:vAlign w:val="center"/>
          </w:tcPr>
          <w:p w14:paraId="01277291" w14:textId="77777777" w:rsidR="00AE49BA" w:rsidRPr="00C63B07" w:rsidRDefault="00AE49BA" w:rsidP="00BD3771">
            <w:pPr>
              <w:rPr>
                <w:b/>
              </w:rPr>
            </w:pPr>
            <w:r w:rsidRPr="00C63B07">
              <w:rPr>
                <w:b/>
              </w:rPr>
              <w:t>Buprenorphine Dispensing or Counseling, Rate of Payment $258.47</w:t>
            </w:r>
            <w:r>
              <w:rPr>
                <w:b/>
              </w:rPr>
              <w:t xml:space="preserve"> per Week</w:t>
            </w:r>
          </w:p>
          <w:p w14:paraId="6162E75C" w14:textId="77777777" w:rsidR="00AE49BA" w:rsidRPr="008B5D89" w:rsidRDefault="00AE49BA" w:rsidP="00BD3771">
            <w:pPr>
              <w:pStyle w:val="NormalWeb"/>
              <w:rPr>
                <w:rFonts w:ascii="Arial" w:hAnsi="Arial" w:cs="Arial"/>
                <w:color w:val="000000"/>
              </w:rPr>
            </w:pPr>
          </w:p>
        </w:tc>
        <w:tc>
          <w:tcPr>
            <w:tcW w:w="898" w:type="dxa"/>
            <w:vAlign w:val="center"/>
          </w:tcPr>
          <w:p w14:paraId="2A52A797" w14:textId="77777777" w:rsidR="00AE49BA" w:rsidRPr="00EB6BF9" w:rsidRDefault="00AE49BA" w:rsidP="00BD3771">
            <w:pPr>
              <w:pStyle w:val="NormalWeb"/>
              <w:jc w:val="center"/>
              <w:rPr>
                <w:rFonts w:ascii="Arial" w:hAnsi="Arial" w:cs="Arial"/>
                <w:color w:val="000000"/>
              </w:rPr>
            </w:pPr>
            <w:r>
              <w:rPr>
                <w:rFonts w:ascii="Arial" w:hAnsi="Arial" w:cs="Arial"/>
                <w:color w:val="000000"/>
              </w:rPr>
              <w:t>7971</w:t>
            </w:r>
          </w:p>
        </w:tc>
        <w:tc>
          <w:tcPr>
            <w:tcW w:w="1622" w:type="dxa"/>
          </w:tcPr>
          <w:p w14:paraId="3FF411C4" w14:textId="77777777" w:rsidR="00AE49BA" w:rsidRDefault="00AE49BA" w:rsidP="00BD3771">
            <w:pPr>
              <w:pStyle w:val="NormalWeb"/>
              <w:jc w:val="center"/>
              <w:rPr>
                <w:rFonts w:ascii="Arial" w:hAnsi="Arial" w:cs="Arial"/>
                <w:color w:val="000000"/>
              </w:rPr>
            </w:pPr>
            <w:r>
              <w:rPr>
                <w:rFonts w:ascii="Arial" w:hAnsi="Arial" w:cs="Arial"/>
                <w:color w:val="000000"/>
              </w:rPr>
              <w:t xml:space="preserve">0160 </w:t>
            </w:r>
          </w:p>
          <w:p w14:paraId="115A51BD" w14:textId="77777777" w:rsidR="00AE49BA" w:rsidRPr="00EB6BF9" w:rsidRDefault="00AE49BA" w:rsidP="00BD3771">
            <w:pPr>
              <w:pStyle w:val="NormalWeb"/>
              <w:jc w:val="center"/>
              <w:rPr>
                <w:rFonts w:ascii="Arial" w:hAnsi="Arial" w:cs="Arial"/>
                <w:color w:val="000000"/>
              </w:rPr>
            </w:pPr>
            <w:r>
              <w:rPr>
                <w:rFonts w:ascii="Arial" w:hAnsi="Arial" w:cs="Arial"/>
                <w:color w:val="000000"/>
              </w:rPr>
              <w:t xml:space="preserve">Freestanding </w:t>
            </w:r>
          </w:p>
        </w:tc>
        <w:tc>
          <w:tcPr>
            <w:tcW w:w="3420" w:type="dxa"/>
            <w:vAlign w:val="center"/>
          </w:tcPr>
          <w:p w14:paraId="50FE88B7" w14:textId="77777777" w:rsidR="00AE49BA" w:rsidRPr="00EB6BF9" w:rsidRDefault="00AE49BA" w:rsidP="00BD3771">
            <w:pPr>
              <w:pStyle w:val="NormalWeb"/>
              <w:jc w:val="center"/>
              <w:rPr>
                <w:rFonts w:ascii="Arial" w:hAnsi="Arial" w:cs="Arial"/>
                <w:color w:val="000000"/>
              </w:rPr>
            </w:pPr>
            <w:r>
              <w:rPr>
                <w:rFonts w:ascii="Arial" w:hAnsi="Arial" w:cs="Arial"/>
                <w:color w:val="000000"/>
              </w:rPr>
              <w:t>$258.47/week</w:t>
            </w:r>
          </w:p>
        </w:tc>
      </w:tr>
      <w:tr w:rsidR="00AE49BA" w:rsidRPr="00EB6BF9" w14:paraId="10C06006" w14:textId="77777777" w:rsidTr="00BD3771">
        <w:trPr>
          <w:trHeight w:val="211"/>
        </w:trPr>
        <w:tc>
          <w:tcPr>
            <w:tcW w:w="4500" w:type="dxa"/>
            <w:vMerge/>
            <w:vAlign w:val="center"/>
          </w:tcPr>
          <w:p w14:paraId="6DF1EADD" w14:textId="77777777" w:rsidR="00AE49BA" w:rsidRPr="008B5D89" w:rsidRDefault="00AE49BA" w:rsidP="00BD3771">
            <w:pPr>
              <w:pStyle w:val="NormalWeb"/>
              <w:rPr>
                <w:rFonts w:ascii="Arial" w:hAnsi="Arial" w:cs="Arial"/>
                <w:color w:val="000000"/>
              </w:rPr>
            </w:pPr>
          </w:p>
        </w:tc>
        <w:tc>
          <w:tcPr>
            <w:tcW w:w="898" w:type="dxa"/>
            <w:vAlign w:val="center"/>
          </w:tcPr>
          <w:p w14:paraId="74CC0DAD" w14:textId="77777777" w:rsidR="00AE49BA" w:rsidRPr="00EB6BF9" w:rsidRDefault="00AE49BA" w:rsidP="00BD3771">
            <w:pPr>
              <w:pStyle w:val="NormalWeb"/>
              <w:jc w:val="center"/>
              <w:rPr>
                <w:rFonts w:ascii="Arial" w:hAnsi="Arial" w:cs="Arial"/>
                <w:color w:val="000000"/>
              </w:rPr>
            </w:pPr>
            <w:r>
              <w:rPr>
                <w:rFonts w:ascii="Arial" w:hAnsi="Arial" w:cs="Arial"/>
                <w:color w:val="000000"/>
              </w:rPr>
              <w:t>7975</w:t>
            </w:r>
          </w:p>
        </w:tc>
        <w:tc>
          <w:tcPr>
            <w:tcW w:w="1622" w:type="dxa"/>
          </w:tcPr>
          <w:p w14:paraId="5335AD8B" w14:textId="77777777" w:rsidR="00AE49BA" w:rsidRDefault="00AE49BA" w:rsidP="00BD3771">
            <w:pPr>
              <w:pStyle w:val="NormalWeb"/>
              <w:jc w:val="center"/>
              <w:rPr>
                <w:rFonts w:ascii="Arial" w:hAnsi="Arial" w:cs="Arial"/>
                <w:color w:val="000000"/>
              </w:rPr>
            </w:pPr>
            <w:r>
              <w:rPr>
                <w:rFonts w:ascii="Arial" w:hAnsi="Arial" w:cs="Arial"/>
                <w:color w:val="000000"/>
              </w:rPr>
              <w:t>0287</w:t>
            </w:r>
          </w:p>
          <w:p w14:paraId="4D4F8589" w14:textId="77777777" w:rsidR="00AE49BA" w:rsidRPr="00EB6BF9" w:rsidRDefault="00AE49BA" w:rsidP="00BD3771">
            <w:pPr>
              <w:pStyle w:val="NormalWeb"/>
              <w:jc w:val="center"/>
              <w:rPr>
                <w:rFonts w:ascii="Arial" w:hAnsi="Arial" w:cs="Arial"/>
                <w:color w:val="000000"/>
              </w:rPr>
            </w:pPr>
            <w:r>
              <w:rPr>
                <w:rFonts w:ascii="Arial" w:hAnsi="Arial" w:cs="Arial"/>
                <w:color w:val="000000"/>
              </w:rPr>
              <w:t xml:space="preserve">Hospital </w:t>
            </w:r>
          </w:p>
        </w:tc>
        <w:tc>
          <w:tcPr>
            <w:tcW w:w="3420" w:type="dxa"/>
            <w:vAlign w:val="center"/>
          </w:tcPr>
          <w:p w14:paraId="7EC2C304" w14:textId="77777777" w:rsidR="00AE49BA" w:rsidRPr="00EB6BF9" w:rsidRDefault="00AE49BA" w:rsidP="00BD3771">
            <w:pPr>
              <w:pStyle w:val="NormalWeb"/>
              <w:jc w:val="center"/>
              <w:rPr>
                <w:rFonts w:ascii="Arial" w:hAnsi="Arial" w:cs="Arial"/>
                <w:color w:val="000000"/>
              </w:rPr>
            </w:pPr>
            <w:r>
              <w:rPr>
                <w:rFonts w:ascii="Arial" w:hAnsi="Arial" w:cs="Arial"/>
                <w:color w:val="000000"/>
              </w:rPr>
              <w:t>$258.47/week</w:t>
            </w:r>
          </w:p>
        </w:tc>
      </w:tr>
      <w:tr w:rsidR="00AE49BA" w:rsidRPr="00EB6BF9" w14:paraId="3BFA0E6A" w14:textId="77777777" w:rsidTr="00BD3771">
        <w:trPr>
          <w:trHeight w:val="211"/>
        </w:trPr>
        <w:tc>
          <w:tcPr>
            <w:tcW w:w="4500" w:type="dxa"/>
            <w:vMerge w:val="restart"/>
            <w:vAlign w:val="bottom"/>
          </w:tcPr>
          <w:p w14:paraId="3F308B7D" w14:textId="77777777" w:rsidR="00AE49BA" w:rsidRPr="00C63B07" w:rsidRDefault="00AE49BA" w:rsidP="00BD3771">
            <w:pPr>
              <w:rPr>
                <w:b/>
              </w:rPr>
            </w:pPr>
            <w:r w:rsidRPr="00C63B07">
              <w:rPr>
                <w:b/>
              </w:rPr>
              <w:t>Buprenorphine Administration, Rate of Payment $86.26 per Week</w:t>
            </w:r>
          </w:p>
          <w:p w14:paraId="446414EC" w14:textId="77777777" w:rsidR="00AE49BA" w:rsidRPr="008B5D89" w:rsidRDefault="00AE49BA" w:rsidP="00BD3771">
            <w:pPr>
              <w:pStyle w:val="NormalWeb"/>
              <w:rPr>
                <w:rFonts w:ascii="Arial" w:hAnsi="Arial" w:cs="Arial"/>
                <w:color w:val="000000"/>
              </w:rPr>
            </w:pPr>
          </w:p>
        </w:tc>
        <w:tc>
          <w:tcPr>
            <w:tcW w:w="898" w:type="dxa"/>
            <w:vAlign w:val="center"/>
          </w:tcPr>
          <w:p w14:paraId="4E838BC2" w14:textId="77777777" w:rsidR="00AE49BA" w:rsidRPr="00EB6BF9" w:rsidRDefault="00AE49BA" w:rsidP="00BD3771">
            <w:pPr>
              <w:pStyle w:val="NormalWeb"/>
              <w:jc w:val="center"/>
              <w:rPr>
                <w:rFonts w:ascii="Arial" w:hAnsi="Arial" w:cs="Arial"/>
                <w:color w:val="000000"/>
              </w:rPr>
            </w:pPr>
            <w:r>
              <w:rPr>
                <w:rFonts w:ascii="Arial" w:hAnsi="Arial" w:cs="Arial"/>
                <w:color w:val="000000"/>
              </w:rPr>
              <w:t>7972</w:t>
            </w:r>
          </w:p>
        </w:tc>
        <w:tc>
          <w:tcPr>
            <w:tcW w:w="1622" w:type="dxa"/>
          </w:tcPr>
          <w:p w14:paraId="27956C24" w14:textId="77777777" w:rsidR="00AE49BA" w:rsidRDefault="00AE49BA" w:rsidP="00BD3771">
            <w:pPr>
              <w:pStyle w:val="NormalWeb"/>
              <w:jc w:val="center"/>
              <w:rPr>
                <w:rFonts w:ascii="Arial" w:hAnsi="Arial" w:cs="Arial"/>
                <w:color w:val="000000"/>
              </w:rPr>
            </w:pPr>
            <w:r>
              <w:rPr>
                <w:rFonts w:ascii="Arial" w:hAnsi="Arial" w:cs="Arial"/>
                <w:color w:val="000000"/>
              </w:rPr>
              <w:t xml:space="preserve">0160 </w:t>
            </w:r>
          </w:p>
          <w:p w14:paraId="2A6272AD" w14:textId="77777777" w:rsidR="00AE49BA" w:rsidRPr="00EB6BF9" w:rsidRDefault="00AE49BA" w:rsidP="00BD3771">
            <w:pPr>
              <w:pStyle w:val="NormalWeb"/>
              <w:jc w:val="center"/>
              <w:rPr>
                <w:rFonts w:ascii="Arial" w:hAnsi="Arial" w:cs="Arial"/>
                <w:color w:val="000000"/>
              </w:rPr>
            </w:pPr>
            <w:r>
              <w:rPr>
                <w:rFonts w:ascii="Arial" w:hAnsi="Arial" w:cs="Arial"/>
                <w:color w:val="000000"/>
              </w:rPr>
              <w:t xml:space="preserve">Freestanding </w:t>
            </w:r>
          </w:p>
        </w:tc>
        <w:tc>
          <w:tcPr>
            <w:tcW w:w="3420" w:type="dxa"/>
            <w:vAlign w:val="center"/>
          </w:tcPr>
          <w:p w14:paraId="1DD62945" w14:textId="77777777" w:rsidR="00AE49BA" w:rsidRPr="00EB6BF9" w:rsidRDefault="00AE49BA" w:rsidP="00BD3771">
            <w:pPr>
              <w:pStyle w:val="NormalWeb"/>
              <w:jc w:val="center"/>
              <w:rPr>
                <w:rFonts w:ascii="Arial" w:hAnsi="Arial" w:cs="Arial"/>
                <w:color w:val="000000"/>
              </w:rPr>
            </w:pPr>
            <w:r>
              <w:rPr>
                <w:rFonts w:ascii="Arial" w:hAnsi="Arial" w:cs="Arial"/>
                <w:color w:val="000000"/>
              </w:rPr>
              <w:t>$86.26/week</w:t>
            </w:r>
          </w:p>
        </w:tc>
      </w:tr>
      <w:tr w:rsidR="00AE49BA" w:rsidRPr="00EB6BF9" w14:paraId="24E998E4" w14:textId="77777777" w:rsidTr="00BD3771">
        <w:trPr>
          <w:trHeight w:val="211"/>
        </w:trPr>
        <w:tc>
          <w:tcPr>
            <w:tcW w:w="4500" w:type="dxa"/>
            <w:vMerge/>
            <w:vAlign w:val="center"/>
          </w:tcPr>
          <w:p w14:paraId="0307C3E4" w14:textId="77777777" w:rsidR="00AE49BA" w:rsidRPr="008B5D89" w:rsidRDefault="00AE49BA" w:rsidP="00BD3771">
            <w:pPr>
              <w:pStyle w:val="NormalWeb"/>
              <w:rPr>
                <w:rFonts w:ascii="Arial" w:hAnsi="Arial" w:cs="Arial"/>
                <w:color w:val="000000"/>
              </w:rPr>
            </w:pPr>
          </w:p>
        </w:tc>
        <w:tc>
          <w:tcPr>
            <w:tcW w:w="898" w:type="dxa"/>
            <w:vAlign w:val="center"/>
          </w:tcPr>
          <w:p w14:paraId="5BF2AAF6" w14:textId="77777777" w:rsidR="00AE49BA" w:rsidRPr="00EB6BF9" w:rsidRDefault="00AE49BA" w:rsidP="00BD3771">
            <w:pPr>
              <w:pStyle w:val="NormalWeb"/>
              <w:jc w:val="center"/>
              <w:rPr>
                <w:rFonts w:ascii="Arial" w:hAnsi="Arial" w:cs="Arial"/>
                <w:color w:val="000000"/>
              </w:rPr>
            </w:pPr>
            <w:r>
              <w:rPr>
                <w:rFonts w:ascii="Arial" w:hAnsi="Arial" w:cs="Arial"/>
                <w:color w:val="000000"/>
              </w:rPr>
              <w:t>7976</w:t>
            </w:r>
          </w:p>
        </w:tc>
        <w:tc>
          <w:tcPr>
            <w:tcW w:w="1622" w:type="dxa"/>
          </w:tcPr>
          <w:p w14:paraId="079594DC" w14:textId="77777777" w:rsidR="00AE49BA" w:rsidRDefault="00AE49BA" w:rsidP="00BD3771">
            <w:pPr>
              <w:pStyle w:val="NormalWeb"/>
              <w:jc w:val="center"/>
              <w:rPr>
                <w:rFonts w:ascii="Arial" w:hAnsi="Arial" w:cs="Arial"/>
                <w:color w:val="000000"/>
              </w:rPr>
            </w:pPr>
            <w:r>
              <w:rPr>
                <w:rFonts w:ascii="Arial" w:hAnsi="Arial" w:cs="Arial"/>
                <w:color w:val="000000"/>
              </w:rPr>
              <w:t>0287</w:t>
            </w:r>
          </w:p>
          <w:p w14:paraId="107C7F36" w14:textId="77777777" w:rsidR="00AE49BA" w:rsidRPr="00EB6BF9" w:rsidRDefault="00AE49BA" w:rsidP="00BD3771">
            <w:pPr>
              <w:pStyle w:val="NormalWeb"/>
              <w:jc w:val="center"/>
              <w:rPr>
                <w:rFonts w:ascii="Arial" w:hAnsi="Arial" w:cs="Arial"/>
                <w:color w:val="000000"/>
              </w:rPr>
            </w:pPr>
            <w:r>
              <w:rPr>
                <w:rFonts w:ascii="Arial" w:hAnsi="Arial" w:cs="Arial"/>
                <w:color w:val="000000"/>
              </w:rPr>
              <w:t xml:space="preserve">Hospital </w:t>
            </w:r>
          </w:p>
        </w:tc>
        <w:tc>
          <w:tcPr>
            <w:tcW w:w="3420" w:type="dxa"/>
            <w:vAlign w:val="center"/>
          </w:tcPr>
          <w:p w14:paraId="1328F271" w14:textId="77777777" w:rsidR="00AE49BA" w:rsidRPr="00EB6BF9" w:rsidRDefault="00AE49BA" w:rsidP="00BD3771">
            <w:pPr>
              <w:pStyle w:val="NormalWeb"/>
              <w:jc w:val="center"/>
              <w:rPr>
                <w:rFonts w:ascii="Arial" w:hAnsi="Arial" w:cs="Arial"/>
                <w:color w:val="000000"/>
              </w:rPr>
            </w:pPr>
            <w:r>
              <w:rPr>
                <w:rFonts w:ascii="Arial" w:hAnsi="Arial" w:cs="Arial"/>
                <w:color w:val="000000"/>
              </w:rPr>
              <w:t>$86.26/week</w:t>
            </w:r>
          </w:p>
        </w:tc>
      </w:tr>
    </w:tbl>
    <w:p w14:paraId="0F70CBC3" w14:textId="77777777" w:rsidR="00AE49BA" w:rsidRPr="00AE49BA" w:rsidRDefault="00AE49BA" w:rsidP="00445734">
      <w:pPr>
        <w:spacing w:after="0"/>
        <w:rPr>
          <w:b/>
          <w:bCs/>
          <w:color w:val="2F5496" w:themeColor="accent1" w:themeShade="BF"/>
        </w:rPr>
      </w:pPr>
    </w:p>
    <w:sectPr w:rsidR="00AE49BA" w:rsidRPr="00AE4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64879"/>
    <w:multiLevelType w:val="hybridMultilevel"/>
    <w:tmpl w:val="293C5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51FEF"/>
    <w:multiLevelType w:val="hybridMultilevel"/>
    <w:tmpl w:val="8A009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34"/>
    <w:rsid w:val="00036F3D"/>
    <w:rsid w:val="00087259"/>
    <w:rsid w:val="00106A34"/>
    <w:rsid w:val="00117EB1"/>
    <w:rsid w:val="001412C9"/>
    <w:rsid w:val="0014453E"/>
    <w:rsid w:val="00252624"/>
    <w:rsid w:val="00261E96"/>
    <w:rsid w:val="00283040"/>
    <w:rsid w:val="002A01FB"/>
    <w:rsid w:val="00397A7A"/>
    <w:rsid w:val="003C3221"/>
    <w:rsid w:val="003E50DC"/>
    <w:rsid w:val="00413447"/>
    <w:rsid w:val="00445734"/>
    <w:rsid w:val="00455A75"/>
    <w:rsid w:val="004816BC"/>
    <w:rsid w:val="004943E0"/>
    <w:rsid w:val="004A7701"/>
    <w:rsid w:val="004E3434"/>
    <w:rsid w:val="00515D80"/>
    <w:rsid w:val="00531EDA"/>
    <w:rsid w:val="0053683B"/>
    <w:rsid w:val="005E0583"/>
    <w:rsid w:val="00692365"/>
    <w:rsid w:val="006A4A27"/>
    <w:rsid w:val="0070085F"/>
    <w:rsid w:val="007208E6"/>
    <w:rsid w:val="0073166D"/>
    <w:rsid w:val="00745351"/>
    <w:rsid w:val="0078415D"/>
    <w:rsid w:val="00876DFF"/>
    <w:rsid w:val="008914A1"/>
    <w:rsid w:val="008A0742"/>
    <w:rsid w:val="008A2553"/>
    <w:rsid w:val="009212C9"/>
    <w:rsid w:val="00925A58"/>
    <w:rsid w:val="00AB3EE6"/>
    <w:rsid w:val="00AD6E52"/>
    <w:rsid w:val="00AE49BA"/>
    <w:rsid w:val="00AF5339"/>
    <w:rsid w:val="00BA0C1C"/>
    <w:rsid w:val="00BB1D8F"/>
    <w:rsid w:val="00BD7CC5"/>
    <w:rsid w:val="00C10C07"/>
    <w:rsid w:val="00C44679"/>
    <w:rsid w:val="00C450F1"/>
    <w:rsid w:val="00C63B07"/>
    <w:rsid w:val="00C866BB"/>
    <w:rsid w:val="00D60AA7"/>
    <w:rsid w:val="00D666C8"/>
    <w:rsid w:val="00DC7315"/>
    <w:rsid w:val="00DF0F57"/>
    <w:rsid w:val="00E2757C"/>
    <w:rsid w:val="00E44962"/>
    <w:rsid w:val="00EE0CBB"/>
    <w:rsid w:val="00F6610F"/>
    <w:rsid w:val="00F9688B"/>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41BF"/>
  <w15:docId w15:val="{388E4D33-C954-4DA9-83D2-56A64B5B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3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6C8"/>
    <w:rPr>
      <w:rFonts w:ascii="Segoe UI" w:hAnsi="Segoe UI" w:cs="Segoe UI"/>
      <w:sz w:val="18"/>
      <w:szCs w:val="18"/>
    </w:rPr>
  </w:style>
  <w:style w:type="paragraph" w:styleId="ListParagraph">
    <w:name w:val="List Paragraph"/>
    <w:basedOn w:val="Normal"/>
    <w:uiPriority w:val="34"/>
    <w:qFormat/>
    <w:rsid w:val="005E0583"/>
    <w:pPr>
      <w:ind w:left="720"/>
      <w:contextualSpacing/>
    </w:pPr>
  </w:style>
  <w:style w:type="character" w:styleId="CommentReference">
    <w:name w:val="annotation reference"/>
    <w:basedOn w:val="DefaultParagraphFont"/>
    <w:uiPriority w:val="99"/>
    <w:semiHidden/>
    <w:unhideWhenUsed/>
    <w:rsid w:val="00925A58"/>
    <w:rPr>
      <w:sz w:val="16"/>
      <w:szCs w:val="16"/>
    </w:rPr>
  </w:style>
  <w:style w:type="paragraph" w:styleId="CommentText">
    <w:name w:val="annotation text"/>
    <w:basedOn w:val="Normal"/>
    <w:link w:val="CommentTextChar"/>
    <w:uiPriority w:val="99"/>
    <w:semiHidden/>
    <w:unhideWhenUsed/>
    <w:rsid w:val="00925A58"/>
    <w:pPr>
      <w:spacing w:line="240" w:lineRule="auto"/>
    </w:pPr>
    <w:rPr>
      <w:sz w:val="20"/>
      <w:szCs w:val="20"/>
    </w:rPr>
  </w:style>
  <w:style w:type="character" w:customStyle="1" w:styleId="CommentTextChar">
    <w:name w:val="Comment Text Char"/>
    <w:basedOn w:val="DefaultParagraphFont"/>
    <w:link w:val="CommentText"/>
    <w:uiPriority w:val="99"/>
    <w:semiHidden/>
    <w:rsid w:val="00925A58"/>
    <w:rPr>
      <w:sz w:val="20"/>
      <w:szCs w:val="20"/>
    </w:rPr>
  </w:style>
  <w:style w:type="paragraph" w:styleId="CommentSubject">
    <w:name w:val="annotation subject"/>
    <w:basedOn w:val="CommentText"/>
    <w:next w:val="CommentText"/>
    <w:link w:val="CommentSubjectChar"/>
    <w:uiPriority w:val="99"/>
    <w:semiHidden/>
    <w:unhideWhenUsed/>
    <w:rsid w:val="00925A58"/>
    <w:rPr>
      <w:b/>
      <w:bCs/>
    </w:rPr>
  </w:style>
  <w:style w:type="character" w:customStyle="1" w:styleId="CommentSubjectChar">
    <w:name w:val="Comment Subject Char"/>
    <w:basedOn w:val="CommentTextChar"/>
    <w:link w:val="CommentSubject"/>
    <w:uiPriority w:val="99"/>
    <w:semiHidden/>
    <w:rsid w:val="00925A58"/>
    <w:rPr>
      <w:b/>
      <w:bCs/>
      <w:sz w:val="20"/>
      <w:szCs w:val="20"/>
    </w:rPr>
  </w:style>
  <w:style w:type="character" w:styleId="Hyperlink">
    <w:name w:val="Hyperlink"/>
    <w:basedOn w:val="DefaultParagraphFont"/>
    <w:uiPriority w:val="99"/>
    <w:semiHidden/>
    <w:unhideWhenUsed/>
    <w:rsid w:val="006A4A27"/>
    <w:rPr>
      <w:color w:val="0000FF"/>
      <w:u w:val="single"/>
    </w:rPr>
  </w:style>
  <w:style w:type="character" w:styleId="FollowedHyperlink">
    <w:name w:val="FollowedHyperlink"/>
    <w:basedOn w:val="DefaultParagraphFont"/>
    <w:uiPriority w:val="99"/>
    <w:semiHidden/>
    <w:unhideWhenUsed/>
    <w:rsid w:val="006A4A27"/>
    <w:rPr>
      <w:color w:val="954F72" w:themeColor="followedHyperlink"/>
      <w:u w:val="single"/>
    </w:rPr>
  </w:style>
  <w:style w:type="table" w:styleId="TableGrid">
    <w:name w:val="Table Grid"/>
    <w:basedOn w:val="TableNormal"/>
    <w:uiPriority w:val="39"/>
    <w:rsid w:val="00AE4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49B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96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sas.ny.gov/telepractice-waiver-update-31820" TargetMode="External"/><Relationship Id="rId3" Type="http://schemas.openxmlformats.org/officeDocument/2006/relationships/settings" Target="settings.xml"/><Relationship Id="rId7" Type="http://schemas.openxmlformats.org/officeDocument/2006/relationships/hyperlink" Target="https://oasas.ny.gov/telepractice-waiver-upd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sas.ny.gov/telepractice-attestation" TargetMode="External"/><Relationship Id="rId11" Type="http://schemas.openxmlformats.org/officeDocument/2006/relationships/fontTable" Target="fontTable.xml"/><Relationship Id="rId5" Type="http://schemas.openxmlformats.org/officeDocument/2006/relationships/hyperlink" Target="https://oasas.ny.gov/telepractice-waiver-guidance" TargetMode="External"/><Relationship Id="rId10" Type="http://schemas.openxmlformats.org/officeDocument/2006/relationships/hyperlink" Target="https://oasas.ny.gov/system/files/documents/2020/03/3-10-2020-covid-19-guidance-for-otp.pdf" TargetMode="External"/><Relationship Id="rId4" Type="http://schemas.openxmlformats.org/officeDocument/2006/relationships/webSettings" Target="webSettings.xml"/><Relationship Id="rId9" Type="http://schemas.openxmlformats.org/officeDocument/2006/relationships/hyperlink" Target="https://oasas.ny.gov/telepractice-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Maughan, Alan (OASAS)</dc:creator>
  <cp:lastModifiedBy>Cindy Levernois</cp:lastModifiedBy>
  <cp:revision>2</cp:revision>
  <cp:lastPrinted>2020-03-17T20:01:00Z</cp:lastPrinted>
  <dcterms:created xsi:type="dcterms:W3CDTF">2020-04-15T15:51:00Z</dcterms:created>
  <dcterms:modified xsi:type="dcterms:W3CDTF">2020-04-15T15:51:00Z</dcterms:modified>
</cp:coreProperties>
</file>