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6071CB" w14:textId="70BF2765" w:rsidR="008649CF" w:rsidRDefault="00251D37">
      <w:r>
        <w:rPr>
          <w:noProof/>
        </w:rPr>
        <w:drawing>
          <wp:inline distT="0" distB="0" distL="0" distR="0" wp14:anchorId="51A9DE5F" wp14:editId="16C1C321">
            <wp:extent cx="5943600" cy="1329055"/>
            <wp:effectExtent l="0" t="0" r="0" b="4445"/>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5">
                      <a:extLst>
                        <a:ext uri="{28A0092B-C50C-407E-A947-70E740481C1C}">
                          <a14:useLocalDpi xmlns:a14="http://schemas.microsoft.com/office/drawing/2010/main" val="0"/>
                        </a:ext>
                      </a:extLst>
                    </a:blip>
                    <a:stretch>
                      <a:fillRect/>
                    </a:stretch>
                  </pic:blipFill>
                  <pic:spPr>
                    <a:xfrm>
                      <a:off x="0" y="0"/>
                      <a:ext cx="5943600" cy="1329055"/>
                    </a:xfrm>
                    <a:prstGeom prst="rect">
                      <a:avLst/>
                    </a:prstGeom>
                  </pic:spPr>
                </pic:pic>
              </a:graphicData>
            </a:graphic>
          </wp:inline>
        </w:drawing>
      </w:r>
    </w:p>
    <w:p w14:paraId="753C61CD" w14:textId="2880E87D" w:rsidR="008649CF" w:rsidRDefault="008649CF"/>
    <w:p w14:paraId="7463D65A" w14:textId="1F624C07" w:rsidR="008649CF" w:rsidRPr="00597702" w:rsidRDefault="008649CF">
      <w:pPr>
        <w:rPr>
          <w:rFonts w:cstheme="minorHAnsi"/>
        </w:rPr>
      </w:pPr>
      <w:r w:rsidRPr="00597702">
        <w:rPr>
          <w:rFonts w:cstheme="minorHAnsi"/>
        </w:rPr>
        <w:t>Dear Senate Majority Leader Stewart-Cousins and Speaker Heastie,</w:t>
      </w:r>
    </w:p>
    <w:p w14:paraId="04C8EB7C" w14:textId="02E8C8D3" w:rsidR="008649CF" w:rsidRPr="00597702" w:rsidRDefault="006F1EAC" w:rsidP="008649CF">
      <w:pPr>
        <w:rPr>
          <w:rFonts w:cstheme="minorHAnsi"/>
        </w:rPr>
      </w:pPr>
      <w:r>
        <w:rPr>
          <w:rFonts w:cstheme="minorHAnsi"/>
          <w:color w:val="000000"/>
        </w:rPr>
        <w:t xml:space="preserve">Thank you for your continuing leadership and concern for </w:t>
      </w:r>
      <w:r w:rsidR="008649CF" w:rsidRPr="00597702">
        <w:rPr>
          <w:rFonts w:cstheme="minorHAnsi"/>
          <w:color w:val="000000"/>
        </w:rPr>
        <w:t>hundreds of thousands of New Yorkers who receive mental health and/or substance use disorder care through the state's public mental hygiene system, and the providers who serve them.   </w:t>
      </w:r>
    </w:p>
    <w:p w14:paraId="1C4BD604" w14:textId="58A12AEB" w:rsidR="008649CF" w:rsidRPr="00597702" w:rsidRDefault="008649CF" w:rsidP="008649CF">
      <w:pPr>
        <w:rPr>
          <w:rFonts w:cstheme="minorHAnsi"/>
        </w:rPr>
      </w:pPr>
      <w:r w:rsidRPr="00597702">
        <w:rPr>
          <w:rFonts w:cstheme="minorHAnsi"/>
        </w:rPr>
        <w:t xml:space="preserve">The signatories below are appreciative of the Legislature’s support of funding for our mental health and substance use priorities during budget negotiations which were included in both one-house bills. </w:t>
      </w:r>
      <w:r w:rsidR="006F1EAC">
        <w:rPr>
          <w:rFonts w:cstheme="minorHAnsi"/>
        </w:rPr>
        <w:t xml:space="preserve">Today, we want to reinforce </w:t>
      </w:r>
      <w:r w:rsidRPr="00597702">
        <w:rPr>
          <w:rFonts w:cstheme="minorHAnsi"/>
        </w:rPr>
        <w:t>the importance of th</w:t>
      </w:r>
      <w:r w:rsidR="009E252B" w:rsidRPr="00597702">
        <w:rPr>
          <w:rFonts w:cstheme="minorHAnsi"/>
        </w:rPr>
        <w:t>e</w:t>
      </w:r>
      <w:r w:rsidRPr="00597702">
        <w:rPr>
          <w:rFonts w:cstheme="minorHAnsi"/>
        </w:rPr>
        <w:t xml:space="preserve"> priority areas </w:t>
      </w:r>
      <w:r w:rsidR="009E252B" w:rsidRPr="00597702">
        <w:rPr>
          <w:rFonts w:cstheme="minorHAnsi"/>
        </w:rPr>
        <w:t xml:space="preserve">outlined below to make certain they </w:t>
      </w:r>
      <w:r w:rsidR="006F1EAC">
        <w:rPr>
          <w:rFonts w:cstheme="minorHAnsi"/>
        </w:rPr>
        <w:t xml:space="preserve">are included in the </w:t>
      </w:r>
      <w:r w:rsidR="009E252B" w:rsidRPr="006F1EAC">
        <w:rPr>
          <w:rFonts w:cstheme="minorHAnsi"/>
        </w:rPr>
        <w:t xml:space="preserve">final </w:t>
      </w:r>
      <w:r w:rsidR="006F1EAC" w:rsidRPr="006F1EAC">
        <w:rPr>
          <w:rFonts w:cstheme="minorHAnsi"/>
        </w:rPr>
        <w:t xml:space="preserve">state </w:t>
      </w:r>
      <w:r w:rsidRPr="006F1EAC">
        <w:rPr>
          <w:rFonts w:cstheme="minorHAnsi"/>
        </w:rPr>
        <w:t>budget</w:t>
      </w:r>
      <w:r w:rsidR="006F1EAC">
        <w:rPr>
          <w:rFonts w:cstheme="minorHAnsi"/>
        </w:rPr>
        <w:t xml:space="preserve"> agreement.  </w:t>
      </w:r>
      <w:r w:rsidRPr="00597702">
        <w:rPr>
          <w:rFonts w:cstheme="minorHAnsi"/>
        </w:rPr>
        <w:t xml:space="preserve">  </w:t>
      </w:r>
    </w:p>
    <w:p w14:paraId="1F85626D" w14:textId="11EC3AB2" w:rsidR="006F1EAC" w:rsidRPr="006F1EAC" w:rsidRDefault="009E252B" w:rsidP="006F1EAC">
      <w:pPr>
        <w:rPr>
          <w:rFonts w:cstheme="minorHAnsi"/>
          <w:color w:val="000000" w:themeColor="text1"/>
        </w:rPr>
      </w:pPr>
      <w:r w:rsidRPr="006F1EAC">
        <w:rPr>
          <w:rFonts w:cstheme="minorHAnsi"/>
          <w:color w:val="000000" w:themeColor="text1"/>
        </w:rPr>
        <w:t xml:space="preserve">We respectfully ask that the following </w:t>
      </w:r>
      <w:r w:rsidR="006F1EAC" w:rsidRPr="006F1EAC">
        <w:rPr>
          <w:rFonts w:cstheme="minorHAnsi"/>
          <w:color w:val="000000" w:themeColor="text1"/>
        </w:rPr>
        <w:t>actions are included in the final budget agreement:</w:t>
      </w:r>
    </w:p>
    <w:p w14:paraId="20C5F76C" w14:textId="2627AEF9" w:rsidR="006F1EAC" w:rsidRDefault="006F1EAC" w:rsidP="007A298B">
      <w:pPr>
        <w:pStyle w:val="ListParagraph"/>
        <w:numPr>
          <w:ilvl w:val="0"/>
          <w:numId w:val="13"/>
        </w:numPr>
        <w:rPr>
          <w:rFonts w:cstheme="minorHAnsi"/>
        </w:rPr>
      </w:pPr>
      <w:r w:rsidRPr="00591A65">
        <w:rPr>
          <w:rFonts w:cstheme="minorHAnsi"/>
        </w:rPr>
        <w:t>Full restoration of any</w:t>
      </w:r>
      <w:r w:rsidR="00591A65">
        <w:rPr>
          <w:rFonts w:cstheme="minorHAnsi"/>
        </w:rPr>
        <w:t>/</w:t>
      </w:r>
      <w:r w:rsidRPr="00591A65">
        <w:rPr>
          <w:rFonts w:cstheme="minorHAnsi"/>
        </w:rPr>
        <w:t xml:space="preserve">all </w:t>
      </w:r>
      <w:r w:rsidR="00591A65" w:rsidRPr="00591A65">
        <w:rPr>
          <w:rFonts w:cstheme="minorHAnsi"/>
        </w:rPr>
        <w:t>withholds/</w:t>
      </w:r>
      <w:r w:rsidRPr="00591A65">
        <w:rPr>
          <w:rFonts w:cstheme="minorHAnsi"/>
        </w:rPr>
        <w:t xml:space="preserve">cuts to OMH and OASAS </w:t>
      </w:r>
      <w:r w:rsidR="00591A65" w:rsidRPr="00591A65">
        <w:rPr>
          <w:rFonts w:cstheme="minorHAnsi"/>
        </w:rPr>
        <w:t xml:space="preserve">providers </w:t>
      </w:r>
    </w:p>
    <w:p w14:paraId="583B58E2" w14:textId="5EAA2BD5" w:rsidR="00591A65" w:rsidRDefault="00591A65" w:rsidP="007A298B">
      <w:pPr>
        <w:pStyle w:val="ListParagraph"/>
        <w:numPr>
          <w:ilvl w:val="0"/>
          <w:numId w:val="13"/>
        </w:numPr>
        <w:rPr>
          <w:rFonts w:cstheme="minorHAnsi"/>
        </w:rPr>
      </w:pPr>
      <w:r>
        <w:rPr>
          <w:rFonts w:cstheme="minorHAnsi"/>
        </w:rPr>
        <w:t>Full restoration of any/all reinvestment funds resulting from bed closures or other ‘rightsizing’ activities as proposed in the executive budget proposal</w:t>
      </w:r>
    </w:p>
    <w:p w14:paraId="41606352" w14:textId="71650D19" w:rsidR="00591A65" w:rsidRDefault="00591A65" w:rsidP="007A298B">
      <w:pPr>
        <w:pStyle w:val="ListParagraph"/>
        <w:numPr>
          <w:ilvl w:val="0"/>
          <w:numId w:val="13"/>
        </w:numPr>
        <w:rPr>
          <w:rFonts w:cstheme="minorHAnsi"/>
        </w:rPr>
      </w:pPr>
      <w:r>
        <w:rPr>
          <w:rFonts w:cstheme="minorHAnsi"/>
        </w:rPr>
        <w:t xml:space="preserve">Full restoration of the Human Services COLA (1%) </w:t>
      </w:r>
    </w:p>
    <w:p w14:paraId="2254F75F" w14:textId="77777777" w:rsidR="00591A65" w:rsidRPr="00591A65" w:rsidRDefault="00591A65" w:rsidP="00591A65">
      <w:pPr>
        <w:pStyle w:val="ListParagraph"/>
        <w:ind w:left="1080"/>
        <w:rPr>
          <w:rFonts w:cstheme="minorHAnsi"/>
        </w:rPr>
      </w:pPr>
    </w:p>
    <w:p w14:paraId="3878DB14" w14:textId="1F7A333F" w:rsidR="009E252B" w:rsidRPr="00597702" w:rsidRDefault="009E252B" w:rsidP="009E252B">
      <w:pPr>
        <w:rPr>
          <w:rFonts w:cstheme="minorHAnsi"/>
        </w:rPr>
      </w:pPr>
      <w:r w:rsidRPr="00597702">
        <w:rPr>
          <w:rFonts w:cstheme="minorHAnsi"/>
        </w:rPr>
        <w:t xml:space="preserve">In addition, we remain concerned regarding </w:t>
      </w:r>
      <w:r w:rsidR="00591A65">
        <w:rPr>
          <w:rFonts w:cstheme="minorHAnsi"/>
        </w:rPr>
        <w:t>the future of t</w:t>
      </w:r>
      <w:r w:rsidRPr="00597702">
        <w:rPr>
          <w:rFonts w:cstheme="minorHAnsi"/>
        </w:rPr>
        <w:t xml:space="preserve">elehealth </w:t>
      </w:r>
      <w:r w:rsidR="00591A65">
        <w:rPr>
          <w:rFonts w:cstheme="minorHAnsi"/>
        </w:rPr>
        <w:t xml:space="preserve">services </w:t>
      </w:r>
      <w:r w:rsidRPr="00597702">
        <w:rPr>
          <w:rFonts w:cstheme="minorHAnsi"/>
        </w:rPr>
        <w:t xml:space="preserve">and </w:t>
      </w:r>
      <w:r w:rsidR="00591A65">
        <w:rPr>
          <w:rFonts w:cstheme="minorHAnsi"/>
        </w:rPr>
        <w:t>we r</w:t>
      </w:r>
      <w:r w:rsidRPr="00597702">
        <w:rPr>
          <w:rFonts w:cstheme="minorHAnsi"/>
        </w:rPr>
        <w:t xml:space="preserve">equest that the Legislature continue to move legislation to </w:t>
      </w:r>
      <w:r w:rsidR="00591A65">
        <w:rPr>
          <w:rFonts w:cstheme="minorHAnsi"/>
        </w:rPr>
        <w:t xml:space="preserve">ensure </w:t>
      </w:r>
      <w:r w:rsidRPr="00597702">
        <w:rPr>
          <w:rFonts w:cstheme="minorHAnsi"/>
        </w:rPr>
        <w:t>the following key components of a strong, telehealth p</w:t>
      </w:r>
      <w:r w:rsidR="00591A65">
        <w:rPr>
          <w:rFonts w:cstheme="minorHAnsi"/>
        </w:rPr>
        <w:t xml:space="preserve">rogram:  </w:t>
      </w:r>
    </w:p>
    <w:p w14:paraId="7CCE125E" w14:textId="6641F233" w:rsidR="00F47DDB" w:rsidRPr="00F47DDB" w:rsidRDefault="009E252B" w:rsidP="00F47DDB">
      <w:pPr>
        <w:pStyle w:val="gmail-m2995013975510487356msolistparagraph"/>
        <w:numPr>
          <w:ilvl w:val="0"/>
          <w:numId w:val="11"/>
        </w:numPr>
        <w:rPr>
          <w:rFonts w:asciiTheme="minorHAnsi" w:hAnsiTheme="minorHAnsi" w:cstheme="minorHAnsi"/>
        </w:rPr>
      </w:pPr>
      <w:r w:rsidRPr="00597702">
        <w:rPr>
          <w:rFonts w:asciiTheme="minorHAnsi" w:hAnsiTheme="minorHAnsi" w:cstheme="minorHAnsi"/>
          <w:b/>
          <w:bCs/>
        </w:rPr>
        <w:t>Rate parity</w:t>
      </w:r>
      <w:r w:rsidRPr="00597702">
        <w:rPr>
          <w:rFonts w:asciiTheme="minorHAnsi" w:hAnsiTheme="minorHAnsi" w:cstheme="minorHAnsi"/>
        </w:rPr>
        <w:t xml:space="preserve">: </w:t>
      </w:r>
      <w:r w:rsidR="00591A65">
        <w:rPr>
          <w:rFonts w:asciiTheme="minorHAnsi" w:hAnsiTheme="minorHAnsi" w:cstheme="minorHAnsi"/>
        </w:rPr>
        <w:t>T</w:t>
      </w:r>
      <w:r w:rsidRPr="00597702">
        <w:rPr>
          <w:rFonts w:asciiTheme="minorHAnsi" w:hAnsiTheme="minorHAnsi" w:cstheme="minorHAnsi"/>
        </w:rPr>
        <w:t xml:space="preserve">elehealth visits should continue to be reimbursed at the same rate as in-person </w:t>
      </w:r>
      <w:r w:rsidR="00F47DDB">
        <w:rPr>
          <w:rFonts w:asciiTheme="minorHAnsi" w:hAnsiTheme="minorHAnsi" w:cstheme="minorHAnsi"/>
        </w:rPr>
        <w:t xml:space="preserve">to include audio-only (telephone) modality </w:t>
      </w:r>
    </w:p>
    <w:p w14:paraId="4E13F35D" w14:textId="3F80E06C" w:rsidR="00591A65" w:rsidRPr="00591A65" w:rsidRDefault="00591A65" w:rsidP="00591A65">
      <w:pPr>
        <w:pStyle w:val="gmail-m2995013975510487356msolistparagraph"/>
        <w:numPr>
          <w:ilvl w:val="0"/>
          <w:numId w:val="11"/>
        </w:numPr>
        <w:rPr>
          <w:rFonts w:asciiTheme="minorHAnsi" w:hAnsiTheme="minorHAnsi" w:cstheme="minorHAnsi"/>
        </w:rPr>
      </w:pPr>
      <w:r w:rsidRPr="00591A65">
        <w:rPr>
          <w:rFonts w:asciiTheme="minorHAnsi" w:hAnsiTheme="minorHAnsi" w:cstheme="minorHAnsi"/>
          <w:b/>
          <w:bCs/>
        </w:rPr>
        <w:t xml:space="preserve">Reimbursement of telehealth services </w:t>
      </w:r>
      <w:r w:rsidRPr="00591A65">
        <w:rPr>
          <w:rFonts w:asciiTheme="minorHAnsi" w:hAnsiTheme="minorHAnsi" w:cstheme="minorHAnsi"/>
          <w:bCs/>
        </w:rPr>
        <w:t>provided by the following staff:</w:t>
      </w:r>
    </w:p>
    <w:p w14:paraId="6AC7F32A" w14:textId="310C0B08" w:rsidR="009E252B" w:rsidRPr="00591A65" w:rsidRDefault="009E252B" w:rsidP="00591A65">
      <w:pPr>
        <w:pStyle w:val="gmail-m2995013975510487356msolistparagraph"/>
        <w:numPr>
          <w:ilvl w:val="0"/>
          <w:numId w:val="2"/>
        </w:numPr>
        <w:rPr>
          <w:rFonts w:asciiTheme="minorHAnsi" w:hAnsiTheme="minorHAnsi" w:cstheme="minorHAnsi"/>
        </w:rPr>
      </w:pPr>
      <w:r w:rsidRPr="00591A65">
        <w:rPr>
          <w:rFonts w:asciiTheme="minorHAnsi" w:hAnsiTheme="minorHAnsi" w:cstheme="minorHAnsi"/>
        </w:rPr>
        <w:t>Certified Peer Recovery Advocates (OASAS)</w:t>
      </w:r>
    </w:p>
    <w:p w14:paraId="13C88C78" w14:textId="77777777" w:rsidR="009E252B" w:rsidRPr="00597702" w:rsidRDefault="009E252B" w:rsidP="009E252B">
      <w:pPr>
        <w:pStyle w:val="gmail-m2995013975510487356msolistparagraph"/>
        <w:numPr>
          <w:ilvl w:val="1"/>
          <w:numId w:val="2"/>
        </w:numPr>
        <w:rPr>
          <w:rFonts w:asciiTheme="minorHAnsi" w:hAnsiTheme="minorHAnsi" w:cstheme="minorHAnsi"/>
        </w:rPr>
      </w:pPr>
      <w:r w:rsidRPr="00597702">
        <w:rPr>
          <w:rFonts w:asciiTheme="minorHAnsi" w:hAnsiTheme="minorHAnsi" w:cstheme="minorHAnsi"/>
        </w:rPr>
        <w:t>Certified Peer Specialists (OMH)</w:t>
      </w:r>
    </w:p>
    <w:p w14:paraId="0FC194F7" w14:textId="77777777" w:rsidR="009E252B" w:rsidRPr="00597702" w:rsidRDefault="009E252B" w:rsidP="009E252B">
      <w:pPr>
        <w:pStyle w:val="gmail-m2995013975510487356msolistparagraph"/>
        <w:numPr>
          <w:ilvl w:val="1"/>
          <w:numId w:val="2"/>
        </w:numPr>
        <w:rPr>
          <w:rFonts w:asciiTheme="minorHAnsi" w:hAnsiTheme="minorHAnsi" w:cstheme="minorHAnsi"/>
        </w:rPr>
      </w:pPr>
      <w:r w:rsidRPr="00597702">
        <w:rPr>
          <w:rFonts w:asciiTheme="minorHAnsi" w:hAnsiTheme="minorHAnsi" w:cstheme="minorHAnsi"/>
        </w:rPr>
        <w:t>Youth peer advocates certified or credentialed by OMH</w:t>
      </w:r>
    </w:p>
    <w:p w14:paraId="107C7225" w14:textId="77777777" w:rsidR="009E252B" w:rsidRPr="00597702" w:rsidRDefault="009E252B" w:rsidP="009E252B">
      <w:pPr>
        <w:pStyle w:val="gmail-m2995013975510487356msolistparagraph"/>
        <w:numPr>
          <w:ilvl w:val="1"/>
          <w:numId w:val="2"/>
        </w:numPr>
        <w:rPr>
          <w:rFonts w:asciiTheme="minorHAnsi" w:hAnsiTheme="minorHAnsi" w:cstheme="minorHAnsi"/>
        </w:rPr>
      </w:pPr>
      <w:r w:rsidRPr="00597702">
        <w:rPr>
          <w:rFonts w:asciiTheme="minorHAnsi" w:hAnsiTheme="minorHAnsi" w:cstheme="minorHAnsi"/>
        </w:rPr>
        <w:t>Family Peer Advocates certified or credentialed by OMH</w:t>
      </w:r>
    </w:p>
    <w:p w14:paraId="545677AD" w14:textId="1C8CD83E" w:rsidR="009E252B" w:rsidRPr="00591A65" w:rsidRDefault="009E252B" w:rsidP="009E252B">
      <w:pPr>
        <w:pStyle w:val="gmail-m2995013975510487356msolistparagraph"/>
        <w:numPr>
          <w:ilvl w:val="0"/>
          <w:numId w:val="10"/>
        </w:numPr>
        <w:rPr>
          <w:rFonts w:asciiTheme="minorHAnsi" w:hAnsiTheme="minorHAnsi" w:cstheme="minorHAnsi"/>
        </w:rPr>
      </w:pPr>
      <w:r w:rsidRPr="00597702">
        <w:rPr>
          <w:rFonts w:asciiTheme="minorHAnsi" w:hAnsiTheme="minorHAnsi" w:cstheme="minorHAnsi"/>
          <w:b/>
          <w:bCs/>
        </w:rPr>
        <w:t>Location.</w:t>
      </w:r>
      <w:r w:rsidRPr="00597702">
        <w:rPr>
          <w:rFonts w:asciiTheme="minorHAnsi" w:hAnsiTheme="minorHAnsi" w:cstheme="minorHAnsi"/>
        </w:rPr>
        <w:t xml:space="preserve"> Allow patients to receive and providers to engage in telehealth services without restrictions to location.</w:t>
      </w:r>
    </w:p>
    <w:p w14:paraId="143A1386" w14:textId="5AA7E94C" w:rsidR="009E252B" w:rsidRDefault="009E252B" w:rsidP="00597702">
      <w:pPr>
        <w:pStyle w:val="gmail-m2995013975510487356msolistparagraph"/>
        <w:numPr>
          <w:ilvl w:val="0"/>
          <w:numId w:val="8"/>
        </w:numPr>
        <w:rPr>
          <w:rFonts w:asciiTheme="minorHAnsi" w:hAnsiTheme="minorHAnsi" w:cstheme="minorHAnsi"/>
        </w:rPr>
      </w:pPr>
      <w:r w:rsidRPr="00597702">
        <w:rPr>
          <w:rFonts w:asciiTheme="minorHAnsi" w:hAnsiTheme="minorHAnsi" w:cstheme="minorHAnsi"/>
          <w:b/>
          <w:bCs/>
        </w:rPr>
        <w:t xml:space="preserve">Protect </w:t>
      </w:r>
      <w:r w:rsidR="00F47DDB">
        <w:rPr>
          <w:rFonts w:asciiTheme="minorHAnsi" w:hAnsiTheme="minorHAnsi" w:cstheme="minorHAnsi"/>
          <w:b/>
          <w:bCs/>
        </w:rPr>
        <w:t xml:space="preserve">Access top Telehealth Services for </w:t>
      </w:r>
      <w:r w:rsidRPr="00597702">
        <w:rPr>
          <w:rFonts w:asciiTheme="minorHAnsi" w:hAnsiTheme="minorHAnsi" w:cstheme="minorHAnsi"/>
          <w:b/>
          <w:bCs/>
        </w:rPr>
        <w:t>Dual</w:t>
      </w:r>
      <w:r w:rsidR="00F47DDB">
        <w:rPr>
          <w:rFonts w:asciiTheme="minorHAnsi" w:hAnsiTheme="minorHAnsi" w:cstheme="minorHAnsi"/>
          <w:b/>
          <w:bCs/>
        </w:rPr>
        <w:t xml:space="preserve"> Eligible Beneficiaries</w:t>
      </w:r>
      <w:r w:rsidR="00F47DDB" w:rsidRPr="00F47DDB">
        <w:rPr>
          <w:rFonts w:asciiTheme="minorHAnsi" w:hAnsiTheme="minorHAnsi" w:cstheme="minorHAnsi"/>
        </w:rPr>
        <w:t>:</w:t>
      </w:r>
      <w:r w:rsidR="00F47DDB">
        <w:rPr>
          <w:rFonts w:asciiTheme="minorHAnsi" w:hAnsiTheme="minorHAnsi" w:cstheme="minorHAnsi"/>
        </w:rPr>
        <w:t xml:space="preserve">  </w:t>
      </w:r>
      <w:bookmarkStart w:id="0" w:name="_GoBack"/>
      <w:bookmarkEnd w:id="0"/>
      <w:r w:rsidRPr="00597702">
        <w:rPr>
          <w:rFonts w:asciiTheme="minorHAnsi" w:hAnsiTheme="minorHAnsi" w:cstheme="minorHAnsi"/>
        </w:rPr>
        <w:t xml:space="preserve"> As a matter of practice, the State does not cover services under Medicaid that are not covered under Medicare when it comes to duals. This is true even if the individual would have received the service if Medicaid </w:t>
      </w:r>
      <w:r w:rsidRPr="00597702">
        <w:rPr>
          <w:rFonts w:asciiTheme="minorHAnsi" w:hAnsiTheme="minorHAnsi" w:cstheme="minorHAnsi"/>
        </w:rPr>
        <w:lastRenderedPageBreak/>
        <w:t>was the only insurance coverage. However, in the BH system there is precedent for allowing duals to receive a service that is covered by Medicaid, but not Medicare, because historically Medicare coverage has been very limited. It’s important to continue this approach under telehealth. It might be helpful to add language like this: “for telehealth services not covered by Medicare, Medicaid will cover the full cost of these services for beneficiaries with both Medicare and Medicaid, provided these services would typically be covered by Medicaid.”</w:t>
      </w:r>
    </w:p>
    <w:p w14:paraId="4252FD05" w14:textId="2775253B" w:rsidR="00597702" w:rsidRPr="00597702" w:rsidRDefault="00597702" w:rsidP="00597702">
      <w:pPr>
        <w:pStyle w:val="gmail-m2995013975510487356msolistparagraph"/>
        <w:rPr>
          <w:rFonts w:asciiTheme="minorHAnsi" w:hAnsiTheme="minorHAnsi" w:cstheme="minorHAnsi"/>
        </w:rPr>
      </w:pPr>
      <w:r>
        <w:rPr>
          <w:rFonts w:asciiTheme="minorHAnsi" w:hAnsiTheme="minorHAnsi" w:cstheme="minorHAnsi"/>
        </w:rPr>
        <w:t xml:space="preserve">Thank you for your continued support and attention to the issues that impact the adults, children and families receiving mental health and substance use services. Should further information be needed, please contact any of the representatives below. </w:t>
      </w:r>
    </w:p>
    <w:p w14:paraId="41A3544C" w14:textId="77777777" w:rsidR="009E252B" w:rsidRPr="00597702" w:rsidRDefault="009E252B" w:rsidP="009E252B">
      <w:pPr>
        <w:pStyle w:val="gmail-m2995013975510487356msolistparagraph"/>
        <w:rPr>
          <w:rFonts w:asciiTheme="minorHAnsi" w:hAnsiTheme="minorHAnsi" w:cstheme="minorHAnsi"/>
        </w:rPr>
      </w:pPr>
      <w:r w:rsidRPr="00597702">
        <w:rPr>
          <w:rFonts w:asciiTheme="minorHAnsi" w:hAnsiTheme="minorHAnsi" w:cstheme="minorHAnsi"/>
        </w:rPr>
        <w:t> </w:t>
      </w:r>
    </w:p>
    <w:p w14:paraId="31E5B935" w14:textId="77777777" w:rsidR="009E252B" w:rsidRPr="00597702" w:rsidRDefault="009E252B" w:rsidP="009E252B">
      <w:pPr>
        <w:pStyle w:val="gmail-m2995013975510487356msolistparagraph"/>
        <w:rPr>
          <w:rFonts w:asciiTheme="minorHAnsi" w:hAnsiTheme="minorHAnsi" w:cstheme="minorHAnsi"/>
        </w:rPr>
      </w:pPr>
      <w:r w:rsidRPr="00597702">
        <w:rPr>
          <w:rFonts w:asciiTheme="minorHAnsi" w:hAnsiTheme="minorHAnsi" w:cstheme="minorHAnsi"/>
        </w:rPr>
        <w:t> </w:t>
      </w:r>
    </w:p>
    <w:p w14:paraId="54FEF8AD" w14:textId="77777777" w:rsidR="009E252B" w:rsidRPr="00597702" w:rsidRDefault="009E252B" w:rsidP="009E252B">
      <w:pPr>
        <w:spacing w:before="100" w:beforeAutospacing="1" w:after="100" w:afterAutospacing="1"/>
        <w:rPr>
          <w:rFonts w:cstheme="minorHAnsi"/>
        </w:rPr>
      </w:pPr>
      <w:r w:rsidRPr="00597702">
        <w:rPr>
          <w:rFonts w:cstheme="minorHAnsi"/>
        </w:rPr>
        <w:t> </w:t>
      </w:r>
    </w:p>
    <w:p w14:paraId="09B68742" w14:textId="647B3D5B" w:rsidR="009E252B" w:rsidRPr="00597702" w:rsidRDefault="009E252B" w:rsidP="009E252B">
      <w:pPr>
        <w:pStyle w:val="ListParagraph"/>
        <w:rPr>
          <w:rFonts w:cstheme="minorHAnsi"/>
        </w:rPr>
      </w:pPr>
    </w:p>
    <w:p w14:paraId="02C56D3C" w14:textId="245E2947" w:rsidR="008649CF" w:rsidRPr="00597702" w:rsidRDefault="008649CF" w:rsidP="008649CF">
      <w:pPr>
        <w:rPr>
          <w:rFonts w:cstheme="minorHAnsi"/>
        </w:rPr>
      </w:pPr>
    </w:p>
    <w:p w14:paraId="4BF6C4AD" w14:textId="77777777" w:rsidR="008649CF" w:rsidRPr="00597702" w:rsidRDefault="008649CF">
      <w:pPr>
        <w:rPr>
          <w:rFonts w:cstheme="minorHAnsi"/>
        </w:rPr>
      </w:pPr>
    </w:p>
    <w:sectPr w:rsidR="008649CF" w:rsidRPr="005977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F2031"/>
    <w:multiLevelType w:val="hybridMultilevel"/>
    <w:tmpl w:val="7A906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A002FE"/>
    <w:multiLevelType w:val="multilevel"/>
    <w:tmpl w:val="F05482E8"/>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DA0324B"/>
    <w:multiLevelType w:val="multilevel"/>
    <w:tmpl w:val="3432C1C6"/>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2E26D4E"/>
    <w:multiLevelType w:val="hybridMultilevel"/>
    <w:tmpl w:val="45982C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33B2588"/>
    <w:multiLevelType w:val="hybridMultilevel"/>
    <w:tmpl w:val="FD5073A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61E6BF4"/>
    <w:multiLevelType w:val="multilevel"/>
    <w:tmpl w:val="79A66FA4"/>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37945DCB"/>
    <w:multiLevelType w:val="hybridMultilevel"/>
    <w:tmpl w:val="CA7EC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1D035B"/>
    <w:multiLevelType w:val="hybridMultilevel"/>
    <w:tmpl w:val="D66CA1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1CB17FF"/>
    <w:multiLevelType w:val="hybridMultilevel"/>
    <w:tmpl w:val="AE6AB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3D3CE1"/>
    <w:multiLevelType w:val="hybridMultilevel"/>
    <w:tmpl w:val="09FAFF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6560FC"/>
    <w:multiLevelType w:val="hybridMultilevel"/>
    <w:tmpl w:val="CA14076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1" w15:restartNumberingAfterBreak="0">
    <w:nsid w:val="66EC4B31"/>
    <w:multiLevelType w:val="hybridMultilevel"/>
    <w:tmpl w:val="E13EBEA4"/>
    <w:lvl w:ilvl="0" w:tplc="0409000F">
      <w:start w:val="1"/>
      <w:numFmt w:val="decimal"/>
      <w:lvlText w:val="%1."/>
      <w:lvlJc w:val="left"/>
      <w:pPr>
        <w:ind w:left="720" w:hanging="360"/>
      </w:pPr>
      <w:rPr>
        <w:rFonts w:hint="default"/>
      </w:rPr>
    </w:lvl>
    <w:lvl w:ilvl="1" w:tplc="0409000F">
      <w:start w:val="1"/>
      <w:numFmt w:val="decimal"/>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D5D5A7E"/>
    <w:multiLevelType w:val="multilevel"/>
    <w:tmpl w:val="D2742DC2"/>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73A56041"/>
    <w:multiLevelType w:val="hybridMultilevel"/>
    <w:tmpl w:val="EBD6FA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DEF10BA"/>
    <w:multiLevelType w:val="multilevel"/>
    <w:tmpl w:val="B31A94F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9"/>
  </w:num>
  <w:num w:numId="2">
    <w:abstractNumId w:val="11"/>
  </w:num>
  <w:num w:numId="3">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3"/>
  </w:num>
  <w:num w:numId="10">
    <w:abstractNumId w:val="8"/>
  </w:num>
  <w:num w:numId="11">
    <w:abstractNumId w:val="6"/>
  </w:num>
  <w:num w:numId="12">
    <w:abstractNumId w:val="0"/>
  </w:num>
  <w:num w:numId="13">
    <w:abstractNumId w:val="13"/>
  </w:num>
  <w:num w:numId="14">
    <w:abstractNumId w:val="4"/>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D37"/>
    <w:rsid w:val="00251D37"/>
    <w:rsid w:val="00591A65"/>
    <w:rsid w:val="00597702"/>
    <w:rsid w:val="006F1EAC"/>
    <w:rsid w:val="008649CF"/>
    <w:rsid w:val="00962CA9"/>
    <w:rsid w:val="009E252B"/>
    <w:rsid w:val="00BE2DF7"/>
    <w:rsid w:val="00CE6D83"/>
    <w:rsid w:val="00F47D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A37D5"/>
  <w15:chartTrackingRefBased/>
  <w15:docId w15:val="{08577B91-D40C-48C4-B89F-8292BBEAC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252B"/>
    <w:pPr>
      <w:ind w:left="720"/>
      <w:contextualSpacing/>
    </w:pPr>
  </w:style>
  <w:style w:type="paragraph" w:customStyle="1" w:styleId="gmail-m2995013975510487356msolistparagraph">
    <w:name w:val="gmail-m_2995013975510487356msolistparagraph"/>
    <w:basedOn w:val="Normal"/>
    <w:rsid w:val="009E252B"/>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3666334">
      <w:bodyDiv w:val="1"/>
      <w:marLeft w:val="0"/>
      <w:marRight w:val="0"/>
      <w:marTop w:val="0"/>
      <w:marBottom w:val="0"/>
      <w:divBdr>
        <w:top w:val="none" w:sz="0" w:space="0" w:color="auto"/>
        <w:left w:val="none" w:sz="0" w:space="0" w:color="auto"/>
        <w:bottom w:val="none" w:sz="0" w:space="0" w:color="auto"/>
        <w:right w:val="none" w:sz="0" w:space="0" w:color="auto"/>
      </w:divBdr>
    </w:div>
    <w:div w:id="1125808558">
      <w:bodyDiv w:val="1"/>
      <w:marLeft w:val="0"/>
      <w:marRight w:val="0"/>
      <w:marTop w:val="0"/>
      <w:marBottom w:val="0"/>
      <w:divBdr>
        <w:top w:val="none" w:sz="0" w:space="0" w:color="auto"/>
        <w:left w:val="none" w:sz="0" w:space="0" w:color="auto"/>
        <w:bottom w:val="none" w:sz="0" w:space="0" w:color="auto"/>
        <w:right w:val="none" w:sz="0" w:space="0" w:color="auto"/>
      </w:divBdr>
    </w:div>
    <w:div w:id="1677227314">
      <w:bodyDiv w:val="1"/>
      <w:marLeft w:val="0"/>
      <w:marRight w:val="0"/>
      <w:marTop w:val="0"/>
      <w:marBottom w:val="0"/>
      <w:divBdr>
        <w:top w:val="none" w:sz="0" w:space="0" w:color="auto"/>
        <w:left w:val="none" w:sz="0" w:space="0" w:color="auto"/>
        <w:bottom w:val="none" w:sz="0" w:space="0" w:color="auto"/>
        <w:right w:val="none" w:sz="0" w:space="0" w:color="auto"/>
      </w:divBdr>
    </w:div>
    <w:div w:id="1863779007">
      <w:bodyDiv w:val="1"/>
      <w:marLeft w:val="0"/>
      <w:marRight w:val="0"/>
      <w:marTop w:val="0"/>
      <w:marBottom w:val="0"/>
      <w:divBdr>
        <w:top w:val="none" w:sz="0" w:space="0" w:color="auto"/>
        <w:left w:val="none" w:sz="0" w:space="0" w:color="auto"/>
        <w:bottom w:val="none" w:sz="0" w:space="0" w:color="auto"/>
        <w:right w:val="none" w:sz="0" w:space="0" w:color="auto"/>
      </w:divBdr>
    </w:div>
    <w:div w:id="1877963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426</Words>
  <Characters>2432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Negri</dc:creator>
  <cp:keywords/>
  <dc:description/>
  <cp:lastModifiedBy>lauri cole</cp:lastModifiedBy>
  <cp:revision>2</cp:revision>
  <dcterms:created xsi:type="dcterms:W3CDTF">2021-03-23T13:49:00Z</dcterms:created>
  <dcterms:modified xsi:type="dcterms:W3CDTF">2021-03-23T13:49:00Z</dcterms:modified>
</cp:coreProperties>
</file>