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Look w:val="0000" w:firstRow="0" w:lastRow="0" w:firstColumn="0" w:lastColumn="0" w:noHBand="0" w:noVBand="0"/>
      </w:tblPr>
      <w:tblGrid>
        <w:gridCol w:w="1548"/>
        <w:gridCol w:w="4050"/>
        <w:gridCol w:w="900"/>
        <w:gridCol w:w="3060"/>
      </w:tblGrid>
      <w:tr w:rsidR="00FD03B7" w14:paraId="497EDF5B" w14:textId="77777777" w:rsidTr="009C40D8">
        <w:trPr>
          <w:cantSplit/>
          <w:trHeight w:val="480"/>
        </w:trPr>
        <w:tc>
          <w:tcPr>
            <w:tcW w:w="1548" w:type="dxa"/>
          </w:tcPr>
          <w:p w14:paraId="1EC967E3" w14:textId="77777777" w:rsidR="00FD03B7" w:rsidRPr="009C40D8" w:rsidRDefault="00FD03B7">
            <w:pPr>
              <w:rPr>
                <w14:shadow w14:blurRad="50800" w14:dist="38100" w14:dir="2700000" w14:sx="100000" w14:sy="100000" w14:kx="0" w14:ky="0" w14:algn="tl">
                  <w14:srgbClr w14:val="000000">
                    <w14:alpha w14:val="60000"/>
                  </w14:srgbClr>
                </w14:shadow>
              </w:rPr>
            </w:pPr>
            <w:r w:rsidRPr="009C40D8">
              <w:rPr>
                <w14:shadow w14:blurRad="50800" w14:dist="38100" w14:dir="2700000" w14:sx="100000" w14:sy="100000" w14:kx="0" w14:ky="0" w14:algn="tl">
                  <w14:srgbClr w14:val="000000">
                    <w14:alpha w14:val="60000"/>
                  </w14:srgbClr>
                </w14:shadow>
              </w:rPr>
              <w:t>TO:</w:t>
            </w:r>
          </w:p>
          <w:p w14:paraId="2071E9DF" w14:textId="77777777" w:rsidR="00B72627" w:rsidRPr="009C40D8" w:rsidRDefault="00B72627">
            <w:pPr>
              <w:rPr>
                <w14:shadow w14:blurRad="50800" w14:dist="38100" w14:dir="2700000" w14:sx="100000" w14:sy="100000" w14:kx="0" w14:ky="0" w14:algn="tl">
                  <w14:srgbClr w14:val="000000">
                    <w14:alpha w14:val="60000"/>
                  </w14:srgbClr>
                </w14:shadow>
              </w:rPr>
            </w:pPr>
          </w:p>
          <w:p w14:paraId="3FCEA14B" w14:textId="77777777" w:rsidR="00B72627" w:rsidRPr="009C40D8" w:rsidRDefault="00B72627">
            <w:pPr>
              <w:rPr>
                <w14:shadow w14:blurRad="50800" w14:dist="38100" w14:dir="2700000" w14:sx="100000" w14:sy="100000" w14:kx="0" w14:ky="0" w14:algn="tl">
                  <w14:srgbClr w14:val="000000">
                    <w14:alpha w14:val="60000"/>
                  </w14:srgbClr>
                </w14:shadow>
              </w:rPr>
            </w:pPr>
          </w:p>
          <w:p w14:paraId="73EA6A55" w14:textId="525E02E4" w:rsidR="00B72627" w:rsidRPr="009C40D8" w:rsidRDefault="00B72627" w:rsidP="009C40D8">
            <w:pPr>
              <w:rPr>
                <w14:shadow w14:blurRad="50800" w14:dist="38100" w14:dir="2700000" w14:sx="100000" w14:sy="100000" w14:kx="0" w14:ky="0" w14:algn="tl">
                  <w14:srgbClr w14:val="000000">
                    <w14:alpha w14:val="60000"/>
                  </w14:srgbClr>
                </w14:shadow>
              </w:rPr>
            </w:pPr>
          </w:p>
        </w:tc>
        <w:tc>
          <w:tcPr>
            <w:tcW w:w="4050" w:type="dxa"/>
          </w:tcPr>
          <w:p w14:paraId="49244481" w14:textId="77777777" w:rsidR="00B72627" w:rsidRDefault="00B72627" w:rsidP="00B72627">
            <w:bookmarkStart w:id="0" w:name="MEMTO"/>
            <w:bookmarkEnd w:id="0"/>
            <w:r>
              <w:t>New York State Council for Community Behavioral Healthcare</w:t>
            </w:r>
          </w:p>
          <w:p w14:paraId="0F64D704" w14:textId="174E466E" w:rsidR="00B72627" w:rsidRDefault="00B72627" w:rsidP="00B72627">
            <w:r>
              <w:t>Attn:  Lauri Cole, Executive Director</w:t>
            </w:r>
          </w:p>
          <w:p w14:paraId="30F0B21E" w14:textId="1CEDFFAB" w:rsidR="009C40D8" w:rsidRDefault="009C40D8" w:rsidP="00B72627"/>
          <w:p w14:paraId="577646C0" w14:textId="77777777" w:rsidR="009C40D8" w:rsidRDefault="009C40D8" w:rsidP="009C40D8">
            <w:r>
              <w:t>NYS Coalition for Children’s Behavioral Health</w:t>
            </w:r>
          </w:p>
          <w:p w14:paraId="6F8518FA" w14:textId="77777777" w:rsidR="009C40D8" w:rsidRDefault="009C40D8" w:rsidP="009C40D8">
            <w:r>
              <w:t>Attn:  Andrea Smyth, Executive Director</w:t>
            </w:r>
          </w:p>
          <w:p w14:paraId="717603A2" w14:textId="601C17DE" w:rsidR="009C40D8" w:rsidRDefault="009C40D8" w:rsidP="00B72627"/>
          <w:p w14:paraId="4400A9F8" w14:textId="77777777" w:rsidR="009C40D8" w:rsidRPr="009C40D8" w:rsidRDefault="009C40D8" w:rsidP="009C40D8">
            <w:r w:rsidRPr="009C40D8">
              <w:t>NYASAP</w:t>
            </w:r>
          </w:p>
          <w:p w14:paraId="30CC92F7" w14:textId="053CFC33" w:rsidR="009C40D8" w:rsidRDefault="009C40D8" w:rsidP="009C40D8">
            <w:r w:rsidRPr="009C40D8">
              <w:t>Attn:  John Coppola, Executive Director</w:t>
            </w:r>
          </w:p>
          <w:p w14:paraId="0FA3D94B" w14:textId="1BD3BE88" w:rsidR="009C40D8" w:rsidRDefault="009C40D8" w:rsidP="009C40D8"/>
          <w:p w14:paraId="717C98A2" w14:textId="77777777" w:rsidR="009C40D8" w:rsidRDefault="009C40D8" w:rsidP="009C40D8">
            <w:r>
              <w:t>The Coalition for Behavioral Health</w:t>
            </w:r>
          </w:p>
          <w:p w14:paraId="2541284C" w14:textId="269320CC" w:rsidR="009C40D8" w:rsidRDefault="009C40D8" w:rsidP="009C40D8">
            <w:r>
              <w:t xml:space="preserve">Attn:  Amy </w:t>
            </w:r>
            <w:proofErr w:type="spellStart"/>
            <w:r>
              <w:t>Dorin</w:t>
            </w:r>
            <w:proofErr w:type="spellEnd"/>
            <w:r>
              <w:t>, President &amp; CEO</w:t>
            </w:r>
          </w:p>
          <w:p w14:paraId="755DF997" w14:textId="313CFAA3" w:rsidR="009C40D8" w:rsidRDefault="009C40D8" w:rsidP="009C40D8"/>
          <w:p w14:paraId="573CEA16" w14:textId="77777777" w:rsidR="009C40D8" w:rsidRDefault="009C40D8" w:rsidP="009C40D8">
            <w:r>
              <w:t>COMPA</w:t>
            </w:r>
          </w:p>
          <w:p w14:paraId="46EDD151" w14:textId="62C09F31" w:rsidR="009C40D8" w:rsidRDefault="009C40D8">
            <w:r>
              <w:t>Attn:  Allegra Schorr, President</w:t>
            </w:r>
          </w:p>
          <w:p w14:paraId="6F08F779" w14:textId="77777777" w:rsidR="00FD03B7" w:rsidRDefault="00FD03B7"/>
        </w:tc>
        <w:tc>
          <w:tcPr>
            <w:tcW w:w="900" w:type="dxa"/>
            <w:vMerge w:val="restart"/>
          </w:tcPr>
          <w:p w14:paraId="460AD897" w14:textId="77777777" w:rsidR="00FD03B7" w:rsidRDefault="00FD03B7">
            <w:pPr>
              <w:ind w:left="882" w:hanging="882"/>
            </w:pPr>
          </w:p>
        </w:tc>
        <w:tc>
          <w:tcPr>
            <w:tcW w:w="3060" w:type="dxa"/>
            <w:vMerge w:val="restart"/>
          </w:tcPr>
          <w:p w14:paraId="2923FE89" w14:textId="77777777" w:rsidR="00FD03B7" w:rsidRDefault="00FD03B7">
            <w:pPr>
              <w:ind w:left="-18" w:firstLine="18"/>
            </w:pPr>
          </w:p>
          <w:p w14:paraId="64E893E7" w14:textId="77777777" w:rsidR="00FD03B7" w:rsidRDefault="00FD03B7">
            <w:pPr>
              <w:ind w:left="-18" w:firstLine="18"/>
            </w:pPr>
          </w:p>
        </w:tc>
      </w:tr>
      <w:tr w:rsidR="00FD03B7" w14:paraId="19A46A6E" w14:textId="77777777" w:rsidTr="009C40D8">
        <w:trPr>
          <w:cantSplit/>
          <w:trHeight w:val="480"/>
        </w:trPr>
        <w:tc>
          <w:tcPr>
            <w:tcW w:w="1548" w:type="dxa"/>
          </w:tcPr>
          <w:p w14:paraId="234B891E" w14:textId="77777777" w:rsidR="00FD03B7" w:rsidRPr="009C40D8" w:rsidRDefault="00FD03B7">
            <w:pPr>
              <w:rPr>
                <w14:shadow w14:blurRad="50800" w14:dist="38100" w14:dir="2700000" w14:sx="100000" w14:sy="100000" w14:kx="0" w14:ky="0" w14:algn="tl">
                  <w14:srgbClr w14:val="000000">
                    <w14:alpha w14:val="60000"/>
                  </w14:srgbClr>
                </w14:shadow>
              </w:rPr>
            </w:pPr>
            <w:r w:rsidRPr="009C40D8">
              <w:rPr>
                <w14:shadow w14:blurRad="50800" w14:dist="38100" w14:dir="2700000" w14:sx="100000" w14:sy="100000" w14:kx="0" w14:ky="0" w14:algn="tl">
                  <w14:srgbClr w14:val="000000">
                    <w14:alpha w14:val="60000"/>
                  </w14:srgbClr>
                </w14:shadow>
              </w:rPr>
              <w:t>FROM:</w:t>
            </w:r>
          </w:p>
        </w:tc>
        <w:tc>
          <w:tcPr>
            <w:tcW w:w="4050" w:type="dxa"/>
          </w:tcPr>
          <w:p w14:paraId="23D7FC52" w14:textId="77777777" w:rsidR="00FD03B7" w:rsidRDefault="00B72627">
            <w:bookmarkStart w:id="1" w:name="MEMFROM"/>
            <w:bookmarkEnd w:id="1"/>
            <w:r>
              <w:t>Robert A. Hussar, Esq.</w:t>
            </w:r>
          </w:p>
          <w:p w14:paraId="2FF7A703" w14:textId="77777777" w:rsidR="00FD03B7" w:rsidRDefault="00FD03B7"/>
        </w:tc>
        <w:tc>
          <w:tcPr>
            <w:tcW w:w="900" w:type="dxa"/>
            <w:vMerge/>
          </w:tcPr>
          <w:p w14:paraId="4ACEF408" w14:textId="77777777" w:rsidR="00FD03B7" w:rsidRDefault="00FD03B7">
            <w:pPr>
              <w:ind w:left="882" w:hanging="882"/>
            </w:pPr>
          </w:p>
        </w:tc>
        <w:tc>
          <w:tcPr>
            <w:tcW w:w="3060" w:type="dxa"/>
            <w:vMerge/>
          </w:tcPr>
          <w:p w14:paraId="0074BDDD" w14:textId="77777777" w:rsidR="00FD03B7" w:rsidRDefault="00FD03B7">
            <w:pPr>
              <w:ind w:left="-18" w:firstLine="18"/>
            </w:pPr>
          </w:p>
        </w:tc>
      </w:tr>
      <w:tr w:rsidR="00FD03B7" w14:paraId="675C1EDB" w14:textId="77777777" w:rsidTr="009C40D8">
        <w:trPr>
          <w:cantSplit/>
          <w:trHeight w:val="480"/>
        </w:trPr>
        <w:tc>
          <w:tcPr>
            <w:tcW w:w="1548" w:type="dxa"/>
          </w:tcPr>
          <w:p w14:paraId="5393B8B4" w14:textId="77777777" w:rsidR="00FD03B7" w:rsidRPr="009C40D8" w:rsidRDefault="00FD03B7">
            <w:pPr>
              <w:rPr>
                <w14:shadow w14:blurRad="50800" w14:dist="38100" w14:dir="2700000" w14:sx="100000" w14:sy="100000" w14:kx="0" w14:ky="0" w14:algn="tl">
                  <w14:srgbClr w14:val="000000">
                    <w14:alpha w14:val="60000"/>
                  </w14:srgbClr>
                </w14:shadow>
              </w:rPr>
            </w:pPr>
            <w:r w:rsidRPr="009C40D8">
              <w:rPr>
                <w14:shadow w14:blurRad="50800" w14:dist="38100" w14:dir="2700000" w14:sx="100000" w14:sy="100000" w14:kx="0" w14:ky="0" w14:algn="tl">
                  <w14:srgbClr w14:val="000000">
                    <w14:alpha w14:val="60000"/>
                  </w14:srgbClr>
                </w14:shadow>
              </w:rPr>
              <w:t>DATE:</w:t>
            </w:r>
          </w:p>
        </w:tc>
        <w:tc>
          <w:tcPr>
            <w:tcW w:w="4050" w:type="dxa"/>
          </w:tcPr>
          <w:p w14:paraId="6521C650" w14:textId="77777777" w:rsidR="00FD03B7" w:rsidRDefault="00B72627">
            <w:bookmarkStart w:id="2" w:name="MEMDATE"/>
            <w:bookmarkEnd w:id="2"/>
            <w:r>
              <w:t>May 24, 2021</w:t>
            </w:r>
          </w:p>
          <w:p w14:paraId="5BC1E964" w14:textId="77777777" w:rsidR="00FD03B7" w:rsidRDefault="00FD03B7"/>
        </w:tc>
        <w:tc>
          <w:tcPr>
            <w:tcW w:w="900" w:type="dxa"/>
            <w:vMerge/>
          </w:tcPr>
          <w:p w14:paraId="3923849C" w14:textId="77777777" w:rsidR="00FD03B7" w:rsidRDefault="00FD03B7">
            <w:pPr>
              <w:ind w:left="882" w:hanging="882"/>
            </w:pPr>
          </w:p>
        </w:tc>
        <w:tc>
          <w:tcPr>
            <w:tcW w:w="3060" w:type="dxa"/>
            <w:vMerge/>
          </w:tcPr>
          <w:p w14:paraId="22A32200" w14:textId="77777777" w:rsidR="00FD03B7" w:rsidRDefault="00FD03B7">
            <w:pPr>
              <w:ind w:left="-18" w:firstLine="18"/>
            </w:pPr>
          </w:p>
        </w:tc>
      </w:tr>
      <w:tr w:rsidR="00FD03B7" w14:paraId="69EA92E7" w14:textId="77777777" w:rsidTr="009C40D8">
        <w:trPr>
          <w:cantSplit/>
        </w:trPr>
        <w:tc>
          <w:tcPr>
            <w:tcW w:w="1548" w:type="dxa"/>
          </w:tcPr>
          <w:p w14:paraId="5418B4FD" w14:textId="77777777" w:rsidR="00FD03B7" w:rsidRPr="009C40D8" w:rsidRDefault="00FD03B7">
            <w:pPr>
              <w:rPr>
                <w14:shadow w14:blurRad="50800" w14:dist="38100" w14:dir="2700000" w14:sx="100000" w14:sy="100000" w14:kx="0" w14:ky="0" w14:algn="tl">
                  <w14:srgbClr w14:val="000000">
                    <w14:alpha w14:val="60000"/>
                  </w14:srgbClr>
                </w14:shadow>
              </w:rPr>
            </w:pPr>
            <w:r w:rsidRPr="009C40D8">
              <w:rPr>
                <w14:shadow w14:blurRad="50800" w14:dist="38100" w14:dir="2700000" w14:sx="100000" w14:sy="100000" w14:kx="0" w14:ky="0" w14:algn="tl">
                  <w14:srgbClr w14:val="000000">
                    <w14:alpha w14:val="60000"/>
                  </w14:srgbClr>
                </w14:shadow>
              </w:rPr>
              <w:t>RE:</w:t>
            </w:r>
          </w:p>
        </w:tc>
        <w:tc>
          <w:tcPr>
            <w:tcW w:w="8010" w:type="dxa"/>
            <w:gridSpan w:val="3"/>
          </w:tcPr>
          <w:p w14:paraId="52E42A4C" w14:textId="67C0F38B" w:rsidR="00FD03B7" w:rsidRDefault="00B72627">
            <w:pPr>
              <w:pStyle w:val="Footer"/>
              <w:tabs>
                <w:tab w:val="clear" w:pos="4320"/>
                <w:tab w:val="clear" w:pos="8640"/>
              </w:tabs>
            </w:pPr>
            <w:bookmarkStart w:id="3" w:name="MEMRE"/>
            <w:bookmarkEnd w:id="3"/>
            <w:r>
              <w:t>OMIG OPRA Audit Issues</w:t>
            </w:r>
          </w:p>
          <w:p w14:paraId="16377E07" w14:textId="17A7E539" w:rsidR="00B72627" w:rsidRPr="00B72627" w:rsidRDefault="00B72627">
            <w:pPr>
              <w:pStyle w:val="Footer"/>
              <w:tabs>
                <w:tab w:val="clear" w:pos="4320"/>
                <w:tab w:val="clear" w:pos="8640"/>
              </w:tabs>
            </w:pPr>
            <w:r>
              <w:rPr>
                <w:u w:val="single"/>
              </w:rPr>
              <w:t>RR File No.:  898049.1</w:t>
            </w:r>
          </w:p>
        </w:tc>
      </w:tr>
    </w:tbl>
    <w:p w14:paraId="6712A93E" w14:textId="77777777" w:rsidR="00FD03B7" w:rsidRDefault="00FD03B7">
      <w:r>
        <w:t>_____________________________________________________________________________</w:t>
      </w:r>
    </w:p>
    <w:p w14:paraId="108ED9DE" w14:textId="77777777" w:rsidR="00B72627" w:rsidRDefault="00B72627" w:rsidP="00B72627">
      <w:pPr>
        <w:jc w:val="center"/>
        <w:rPr>
          <w:sz w:val="28"/>
          <w:szCs w:val="28"/>
        </w:rPr>
      </w:pPr>
    </w:p>
    <w:p w14:paraId="12CB9C56" w14:textId="0BC49B84" w:rsidR="00B72627" w:rsidRPr="009B5396" w:rsidRDefault="00B72627" w:rsidP="00B72627">
      <w:pPr>
        <w:jc w:val="center"/>
        <w:rPr>
          <w:sz w:val="28"/>
          <w:szCs w:val="28"/>
        </w:rPr>
      </w:pPr>
      <w:r w:rsidRPr="009B5396">
        <w:rPr>
          <w:sz w:val="28"/>
          <w:szCs w:val="28"/>
        </w:rPr>
        <w:t>OMIG OPRA AUDIT ISSUES</w:t>
      </w:r>
    </w:p>
    <w:p w14:paraId="283944F8" w14:textId="77777777" w:rsidR="00B72627" w:rsidRDefault="00B72627" w:rsidP="00B72627"/>
    <w:p w14:paraId="38179AA3" w14:textId="5348D4FE" w:rsidR="00B72627" w:rsidRDefault="00B72627" w:rsidP="00B72627">
      <w:pPr>
        <w:rPr>
          <w:b/>
          <w:i/>
        </w:rPr>
      </w:pPr>
      <w:r w:rsidRPr="009B5396">
        <w:rPr>
          <w:b/>
          <w:i/>
        </w:rPr>
        <w:t xml:space="preserve">Please be advised that the information below are general thoughts and </w:t>
      </w:r>
      <w:r w:rsidRPr="009B5396">
        <w:rPr>
          <w:b/>
          <w:i/>
          <w:u w:val="single"/>
        </w:rPr>
        <w:t>DOES NOT CONSTITUTE LEGAL ADVICE.</w:t>
      </w:r>
      <w:r w:rsidRPr="009B5396">
        <w:rPr>
          <w:b/>
          <w:i/>
        </w:rPr>
        <w:t xml:space="preserve">  Providers are encouraged to consult with their own legal counsel.</w:t>
      </w:r>
    </w:p>
    <w:p w14:paraId="2C1FE8B8" w14:textId="77777777" w:rsidR="00B72627" w:rsidRPr="00077A89" w:rsidRDefault="00B72627" w:rsidP="00B72627">
      <w:pPr>
        <w:rPr>
          <w:b/>
          <w:i/>
        </w:rPr>
      </w:pPr>
    </w:p>
    <w:p w14:paraId="7C94300F" w14:textId="5F2FA984" w:rsidR="00B72627" w:rsidRDefault="00B72627" w:rsidP="00B72627">
      <w:r>
        <w:t>Potential defenses that providers may want to consider including in their response to OMIG’s Draft Audit Report. (when submitting their complete response – not the spreadsheet requested by OMIG and further discussed below):</w:t>
      </w:r>
    </w:p>
    <w:p w14:paraId="42872284" w14:textId="77777777" w:rsidR="00B72627" w:rsidRDefault="00B72627" w:rsidP="00B72627"/>
    <w:p w14:paraId="5C04AF47" w14:textId="77777777" w:rsidR="00B72627" w:rsidRDefault="00B72627" w:rsidP="00B72627">
      <w:pPr>
        <w:pStyle w:val="ListParagraph"/>
        <w:numPr>
          <w:ilvl w:val="0"/>
          <w:numId w:val="20"/>
        </w:numPr>
      </w:pPr>
      <w:r>
        <w:t>For years and even to this date, the state (through multiple state oversight agencies including NYSDOH, OMH, OASAS) has issued inconsistent and ambiguous guidance on OPRA;</w:t>
      </w:r>
    </w:p>
    <w:p w14:paraId="3AC50C23" w14:textId="77777777" w:rsidR="00B72627" w:rsidRDefault="00B72627" w:rsidP="00B72627">
      <w:pPr>
        <w:pStyle w:val="ListParagraph"/>
        <w:numPr>
          <w:ilvl w:val="0"/>
          <w:numId w:val="20"/>
        </w:numPr>
      </w:pPr>
      <w:r w:rsidRPr="00F63E36">
        <w:t xml:space="preserve">Several sources of guidance to providers indicated that claims that did not list an appropriately </w:t>
      </w:r>
      <w:r>
        <w:t xml:space="preserve">OPRA </w:t>
      </w:r>
      <w:r w:rsidRPr="00F63E36">
        <w:t xml:space="preserve">enrolled provider would be rejected.  </w:t>
      </w:r>
    </w:p>
    <w:p w14:paraId="346F7049" w14:textId="77777777" w:rsidR="00B72627" w:rsidRDefault="00B72627" w:rsidP="00B72627">
      <w:pPr>
        <w:pStyle w:val="ListParagraph"/>
        <w:numPr>
          <w:ilvl w:val="0"/>
          <w:numId w:val="20"/>
        </w:numPr>
      </w:pPr>
      <w:r>
        <w:lastRenderedPageBreak/>
        <w:t>Claims were not rejected and providers were never informed that claims were inaccurate or incomplete and were therefore deprived of an opportunity to address any inaccuracies or deficiencies;</w:t>
      </w:r>
    </w:p>
    <w:p w14:paraId="323364A1" w14:textId="77777777" w:rsidR="00B72627" w:rsidRDefault="00B72627" w:rsidP="00B72627">
      <w:pPr>
        <w:pStyle w:val="ListParagraph"/>
        <w:numPr>
          <w:ilvl w:val="0"/>
          <w:numId w:val="20"/>
        </w:numPr>
      </w:pPr>
      <w:r>
        <w:t xml:space="preserve">Providers would have been in a much better place to correct any claim specific deficiencies and systemic issues, had providers been notified of rejections in real-time. </w:t>
      </w:r>
    </w:p>
    <w:p w14:paraId="78A85298" w14:textId="77777777" w:rsidR="00B72627" w:rsidRDefault="00B72627" w:rsidP="00B72627">
      <w:pPr>
        <w:pStyle w:val="ListParagraph"/>
        <w:numPr>
          <w:ilvl w:val="0"/>
          <w:numId w:val="20"/>
        </w:numPr>
      </w:pPr>
      <w:r>
        <w:t xml:space="preserve">The process for providers to locate records and identify whether an appropriate OPRA enrolled referring provider could be added to the claim would be overly burdensome given the time that has passed and the voluminous number of claims.  </w:t>
      </w:r>
    </w:p>
    <w:p w14:paraId="6C7596D0" w14:textId="77777777" w:rsidR="00B72627" w:rsidRDefault="00B72627" w:rsidP="00B72627">
      <w:pPr>
        <w:pStyle w:val="ListParagraph"/>
        <w:numPr>
          <w:ilvl w:val="0"/>
          <w:numId w:val="20"/>
        </w:numPr>
      </w:pPr>
      <w:r>
        <w:t xml:space="preserve">The process to adjust claims in the </w:t>
      </w:r>
      <w:proofErr w:type="spellStart"/>
      <w:r>
        <w:t>eMedNY</w:t>
      </w:r>
      <w:proofErr w:type="spellEnd"/>
      <w:r>
        <w:t xml:space="preserve"> system, if it even feasible, would be extremely resource intensive and either costly or a drain on scare agency </w:t>
      </w:r>
    </w:p>
    <w:p w14:paraId="7627A4AB" w14:textId="77777777" w:rsidR="00B72627" w:rsidRDefault="00B72627" w:rsidP="00B72627">
      <w:pPr>
        <w:pStyle w:val="ListParagraph"/>
        <w:numPr>
          <w:ilvl w:val="0"/>
          <w:numId w:val="20"/>
        </w:numPr>
      </w:pPr>
      <w:r>
        <w:t xml:space="preserve">Perhaps most problematic is that the </w:t>
      </w:r>
      <w:proofErr w:type="spellStart"/>
      <w:r>
        <w:t>eMedNY</w:t>
      </w:r>
      <w:proofErr w:type="spellEnd"/>
      <w:r>
        <w:t xml:space="preserve"> system has auto-populated fields.  In other words, that claims data submitted by providers was altered by the system.  As a result, providers are unable to verify the accuracy of the information upon which the claims were adjudicated.</w:t>
      </w:r>
    </w:p>
    <w:p w14:paraId="69E51EBE" w14:textId="77777777" w:rsidR="00B72627" w:rsidRDefault="00B72627" w:rsidP="00B72627">
      <w:pPr>
        <w:pStyle w:val="ListParagraph"/>
        <w:numPr>
          <w:ilvl w:val="0"/>
          <w:numId w:val="20"/>
        </w:numPr>
      </w:pPr>
      <w:r>
        <w:t xml:space="preserve">We are led to believe that </w:t>
      </w:r>
      <w:proofErr w:type="spellStart"/>
      <w:r>
        <w:t>eMedNY</w:t>
      </w:r>
      <w:proofErr w:type="spellEnd"/>
      <w:r>
        <w:t xml:space="preserve"> system issues still exist today that preclude the inclusion of some provider’s data on the claim form.</w:t>
      </w:r>
    </w:p>
    <w:p w14:paraId="15D94B26" w14:textId="77777777" w:rsidR="00B72627" w:rsidRDefault="00B72627" w:rsidP="00B72627"/>
    <w:p w14:paraId="4C24A867" w14:textId="77777777" w:rsidR="00B72627" w:rsidRDefault="00B72627" w:rsidP="00B72627">
      <w:r>
        <w:t>In terms of responding to the Pilot Draft Reports, providers are not fully protected if they simply respond by providing information in the requested spreadsheet as requested by OMIG.  OMIG has committed to not issue Final Audit Reports, that does not preserve arguments providers can raise at an administrative law hearing after the final is issued.  The relevant regulation provides:</w:t>
      </w:r>
    </w:p>
    <w:p w14:paraId="355D48B7" w14:textId="77777777" w:rsidR="00B72627" w:rsidRDefault="00B72627" w:rsidP="00B72627">
      <w:r w:rsidRPr="003A1F95">
        <w:t xml:space="preserve">519.18 Hearing procedure. (a) The issues and documentation considered at the hearing are limited to issues directly relating to the final determination. </w:t>
      </w:r>
      <w:r w:rsidRPr="003A1F95">
        <w:rPr>
          <w:highlight w:val="yellow"/>
        </w:rPr>
        <w:t>An appellant may not raise</w:t>
      </w:r>
      <w:r w:rsidRPr="003A1F95">
        <w:t xml:space="preserve"> issues regarding the methodology used to determine any rate of payment or fee, </w:t>
      </w:r>
      <w:r w:rsidRPr="003A1F95">
        <w:rPr>
          <w:highlight w:val="yellow"/>
        </w:rPr>
        <w:t>nor raise any new matter not considered by the department upon submission of objections to a draft audit or notice of proposed agency action.</w:t>
      </w:r>
    </w:p>
    <w:p w14:paraId="56BB7164" w14:textId="77777777" w:rsidR="00B72627" w:rsidRDefault="00B72627" w:rsidP="00B72627"/>
    <w:p w14:paraId="6FF9EC28" w14:textId="5543FB91" w:rsidR="00B72627" w:rsidRDefault="00B72627" w:rsidP="00B72627">
      <w:r>
        <w:t>Therefore, I highly recommend that all probe audit providers seek an additional extension in order to preserve their right to raise additional arguments depending on the outcome of our negotiations with OMIG.</w:t>
      </w:r>
    </w:p>
    <w:p w14:paraId="1FA3CDF5" w14:textId="77777777" w:rsidR="00B72627" w:rsidRDefault="00B72627" w:rsidP="00B72627"/>
    <w:p w14:paraId="61E5AAC6" w14:textId="77777777" w:rsidR="00B72627" w:rsidRDefault="00B72627" w:rsidP="00B72627">
      <w:r>
        <w:t xml:space="preserve">With that said, in the meantime, I suggest we still comply with the OMIG’s request to provide information in the spreadsheet.  My current thinking (based on what we are informally hearing from OMH /OASAS) is that providers take advantage of the less onerous interpretation of “referring provider” and complete the spreadsheet using the name and NPI of the Medical/Clinic Director (even if a provider is unable to locate a document evidencing their signature on a treatment plan).  </w:t>
      </w:r>
      <w:r w:rsidRPr="00077A89">
        <w:rPr>
          <w:b/>
        </w:rPr>
        <w:t xml:space="preserve">In order to avoid any future allegation of fraud or deceit, I would add </w:t>
      </w:r>
      <w:r>
        <w:rPr>
          <w:b/>
        </w:rPr>
        <w:t>language</w:t>
      </w:r>
      <w:r w:rsidRPr="00077A89">
        <w:rPr>
          <w:b/>
        </w:rPr>
        <w:t xml:space="preserve"> </w:t>
      </w:r>
      <w:r>
        <w:rPr>
          <w:b/>
        </w:rPr>
        <w:t xml:space="preserve">to the spreadsheet </w:t>
      </w:r>
      <w:r w:rsidRPr="00077A89">
        <w:rPr>
          <w:b/>
        </w:rPr>
        <w:t xml:space="preserve">indicating that when identifying the </w:t>
      </w:r>
      <w:r>
        <w:rPr>
          <w:b/>
        </w:rPr>
        <w:t>“</w:t>
      </w:r>
      <w:r w:rsidRPr="00077A89">
        <w:rPr>
          <w:b/>
        </w:rPr>
        <w:t>referring provider</w:t>
      </w:r>
      <w:r>
        <w:rPr>
          <w:b/>
        </w:rPr>
        <w:t xml:space="preserve">”, </w:t>
      </w:r>
      <w:r w:rsidRPr="00077A89">
        <w:rPr>
          <w:b/>
        </w:rPr>
        <w:t>the agency utilized the name and NPI of either the provider signing the treatment plan and/or the provider serving in the role of Medical/Clinic Director or Supervisor.</w:t>
      </w:r>
      <w:r>
        <w:t xml:space="preserve"> </w:t>
      </w:r>
    </w:p>
    <w:p w14:paraId="42D54BAA" w14:textId="77777777" w:rsidR="00B72627" w:rsidRDefault="00B72627">
      <w:pPr>
        <w:spacing w:line="480" w:lineRule="auto"/>
      </w:pPr>
    </w:p>
    <w:p w14:paraId="09DAA494" w14:textId="77777777" w:rsidR="00FD03B7" w:rsidRDefault="00FD03B7">
      <w:pPr>
        <w:spacing w:line="480" w:lineRule="auto"/>
        <w:rPr>
          <w:rFonts w:ascii="Arial" w:hAnsi="Arial" w:cs="Arial"/>
        </w:rPr>
      </w:pPr>
      <w:r>
        <w:tab/>
      </w:r>
    </w:p>
    <w:sectPr w:rsidR="00FD03B7" w:rsidSect="006A4136">
      <w:headerReference w:type="even" r:id="rId7"/>
      <w:headerReference w:type="default" r:id="rId8"/>
      <w:footerReference w:type="even" r:id="rId9"/>
      <w:footerReference w:type="default" r:id="rId10"/>
      <w:headerReference w:type="first" r:id="rId11"/>
      <w:footerReference w:type="first" r:id="rId12"/>
      <w:pgSz w:w="12240" w:h="15840" w:code="1"/>
      <w:pgMar w:top="1584" w:right="1440" w:bottom="1440" w:left="1440" w:header="720" w:footer="28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AEC2E6" w14:textId="77777777" w:rsidR="003D784F" w:rsidRDefault="003D784F">
      <w:r>
        <w:separator/>
      </w:r>
    </w:p>
  </w:endnote>
  <w:endnote w:type="continuationSeparator" w:id="0">
    <w:p w14:paraId="6901997F" w14:textId="77777777" w:rsidR="003D784F" w:rsidRDefault="003D7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6C7821" w14:textId="77777777" w:rsidR="00FD03B7" w:rsidRDefault="00FD03B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bookmarkStart w:id="4" w:name="MLC_Footer1_3"/>
  <w:bookmarkEnd w:id="4"/>
  <w:p w14:paraId="36494EEC" w14:textId="18AFACAF" w:rsidR="00FD03B7" w:rsidRDefault="006A4136">
    <w:pPr>
      <w:pStyle w:val="Footer"/>
    </w:pPr>
    <w:r>
      <w:rPr>
        <w:sz w:val="16"/>
      </w:rPr>
      <w:fldChar w:fldCharType="begin"/>
    </w:r>
    <w:r>
      <w:rPr>
        <w:sz w:val="16"/>
      </w:rPr>
      <w:instrText xml:space="preserve"> </w:instrText>
    </w:r>
    <w:r w:rsidRPr="006A4136">
      <w:rPr>
        <w:sz w:val="16"/>
      </w:rPr>
      <w:instrText xml:space="preserve">IF </w:instrText>
    </w:r>
    <w:r>
      <w:rPr>
        <w:sz w:val="16"/>
      </w:rPr>
      <w:fldChar w:fldCharType="begin"/>
    </w:r>
    <w:r>
      <w:rPr>
        <w:sz w:val="16"/>
      </w:rPr>
      <w:instrText xml:space="preserve"> </w:instrText>
    </w:r>
    <w:r w:rsidRPr="006A4136">
      <w:rPr>
        <w:sz w:val="16"/>
      </w:rPr>
      <w:instrText>PAGE</w:instrText>
    </w:r>
    <w:r>
      <w:rPr>
        <w:sz w:val="16"/>
      </w:rPr>
      <w:instrText xml:space="preserve"> </w:instrText>
    </w:r>
    <w:r>
      <w:rPr>
        <w:sz w:val="16"/>
      </w:rPr>
      <w:fldChar w:fldCharType="separate"/>
    </w:r>
    <w:r>
      <w:rPr>
        <w:noProof/>
        <w:sz w:val="16"/>
      </w:rPr>
      <w:instrText>2</w:instrText>
    </w:r>
    <w:r>
      <w:rPr>
        <w:sz w:val="16"/>
      </w:rPr>
      <w:fldChar w:fldCharType="end"/>
    </w:r>
    <w:r w:rsidRPr="006A4136">
      <w:rPr>
        <w:sz w:val="16"/>
      </w:rPr>
      <w:instrText xml:space="preserve"> = </w:instrText>
    </w:r>
    <w:r>
      <w:rPr>
        <w:sz w:val="16"/>
      </w:rPr>
      <w:fldChar w:fldCharType="begin"/>
    </w:r>
    <w:r>
      <w:rPr>
        <w:sz w:val="16"/>
      </w:rPr>
      <w:instrText xml:space="preserve"> </w:instrText>
    </w:r>
    <w:r w:rsidRPr="006A4136">
      <w:rPr>
        <w:sz w:val="16"/>
      </w:rPr>
      <w:instrText>NUMPAGES</w:instrText>
    </w:r>
    <w:r>
      <w:rPr>
        <w:sz w:val="16"/>
      </w:rPr>
      <w:instrText xml:space="preserve"> </w:instrText>
    </w:r>
    <w:r>
      <w:rPr>
        <w:sz w:val="16"/>
      </w:rPr>
      <w:fldChar w:fldCharType="separate"/>
    </w:r>
    <w:r>
      <w:rPr>
        <w:noProof/>
        <w:sz w:val="16"/>
      </w:rPr>
      <w:instrText>2</w:instrText>
    </w:r>
    <w:r>
      <w:rPr>
        <w:sz w:val="16"/>
      </w:rPr>
      <w:fldChar w:fldCharType="end"/>
    </w:r>
    <w:r w:rsidRPr="006A4136">
      <w:rPr>
        <w:sz w:val="16"/>
      </w:rPr>
      <w:instrText xml:space="preserve"> </w:instrText>
    </w:r>
    <w:r>
      <w:rPr>
        <w:sz w:val="16"/>
      </w:rPr>
      <w:fldChar w:fldCharType="begin"/>
    </w:r>
    <w:r>
      <w:rPr>
        <w:sz w:val="16"/>
      </w:rPr>
      <w:instrText xml:space="preserve"> </w:instrText>
    </w:r>
    <w:r w:rsidRPr="006A4136">
      <w:rPr>
        <w:sz w:val="16"/>
      </w:rPr>
      <w:instrText>DOCPROPERTY "MLCFooter"</w:instrText>
    </w:r>
    <w:r>
      <w:rPr>
        <w:sz w:val="16"/>
      </w:rPr>
      <w:instrText xml:space="preserve"> </w:instrText>
    </w:r>
    <w:r>
      <w:rPr>
        <w:sz w:val="16"/>
      </w:rPr>
      <w:fldChar w:fldCharType="separate"/>
    </w:r>
    <w:r>
      <w:rPr>
        <w:sz w:val="16"/>
      </w:rPr>
      <w:instrText>2262433.v1</w:instrText>
    </w:r>
    <w:r>
      <w:rPr>
        <w:sz w:val="16"/>
      </w:rPr>
      <w:fldChar w:fldCharType="end"/>
    </w:r>
    <w:r>
      <w:rPr>
        <w:sz w:val="16"/>
      </w:rPr>
      <w:instrText xml:space="preserve"> </w:instrText>
    </w:r>
    <w:r>
      <w:rPr>
        <w:sz w:val="16"/>
      </w:rPr>
      <w:fldChar w:fldCharType="separate"/>
    </w:r>
    <w:r>
      <w:rPr>
        <w:noProof/>
        <w:sz w:val="16"/>
      </w:rPr>
      <w:t>2262433.v1</w:t>
    </w:r>
    <w:r>
      <w:rP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960AD6" w14:textId="77777777" w:rsidR="00FD03B7" w:rsidRDefault="00FD03B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bookmarkStart w:id="5" w:name="MLC_Footer1"/>
  <w:bookmarkEnd w:id="5"/>
  <w:p w14:paraId="5B2A662B" w14:textId="2F094147" w:rsidR="00FD03B7" w:rsidRDefault="006A4136">
    <w:pPr>
      <w:pStyle w:val="Footer"/>
    </w:pPr>
    <w:r>
      <w:rPr>
        <w:sz w:val="16"/>
      </w:rPr>
      <w:fldChar w:fldCharType="begin"/>
    </w:r>
    <w:r>
      <w:rPr>
        <w:sz w:val="16"/>
      </w:rPr>
      <w:instrText xml:space="preserve"> </w:instrText>
    </w:r>
    <w:r w:rsidRPr="006A4136">
      <w:rPr>
        <w:sz w:val="16"/>
      </w:rPr>
      <w:instrText xml:space="preserve">IF </w:instrText>
    </w:r>
    <w:r>
      <w:rPr>
        <w:sz w:val="16"/>
      </w:rPr>
      <w:fldChar w:fldCharType="begin"/>
    </w:r>
    <w:r>
      <w:rPr>
        <w:sz w:val="16"/>
      </w:rPr>
      <w:instrText xml:space="preserve"> </w:instrText>
    </w:r>
    <w:r w:rsidRPr="006A4136">
      <w:rPr>
        <w:sz w:val="16"/>
      </w:rPr>
      <w:instrText>PAGE</w:instrText>
    </w:r>
    <w:r>
      <w:rPr>
        <w:sz w:val="16"/>
      </w:rPr>
      <w:instrText xml:space="preserve"> </w:instrText>
    </w:r>
    <w:r>
      <w:rPr>
        <w:sz w:val="16"/>
      </w:rPr>
      <w:fldChar w:fldCharType="separate"/>
    </w:r>
    <w:r w:rsidR="00E85DDB">
      <w:rPr>
        <w:noProof/>
        <w:sz w:val="16"/>
      </w:rPr>
      <w:instrText>2</w:instrText>
    </w:r>
    <w:r>
      <w:rPr>
        <w:sz w:val="16"/>
      </w:rPr>
      <w:fldChar w:fldCharType="end"/>
    </w:r>
    <w:r w:rsidRPr="006A4136">
      <w:rPr>
        <w:sz w:val="16"/>
      </w:rPr>
      <w:instrText xml:space="preserve"> = </w:instrText>
    </w:r>
    <w:r>
      <w:rPr>
        <w:sz w:val="16"/>
      </w:rPr>
      <w:fldChar w:fldCharType="begin"/>
    </w:r>
    <w:r>
      <w:rPr>
        <w:sz w:val="16"/>
      </w:rPr>
      <w:instrText xml:space="preserve"> </w:instrText>
    </w:r>
    <w:r w:rsidRPr="006A4136">
      <w:rPr>
        <w:sz w:val="16"/>
      </w:rPr>
      <w:instrText>NUMPAGES</w:instrText>
    </w:r>
    <w:r>
      <w:rPr>
        <w:sz w:val="16"/>
      </w:rPr>
      <w:instrText xml:space="preserve"> </w:instrText>
    </w:r>
    <w:r>
      <w:rPr>
        <w:sz w:val="16"/>
      </w:rPr>
      <w:fldChar w:fldCharType="separate"/>
    </w:r>
    <w:r w:rsidR="00E85DDB">
      <w:rPr>
        <w:noProof/>
        <w:sz w:val="16"/>
      </w:rPr>
      <w:instrText>2</w:instrText>
    </w:r>
    <w:r>
      <w:rPr>
        <w:sz w:val="16"/>
      </w:rPr>
      <w:fldChar w:fldCharType="end"/>
    </w:r>
    <w:r w:rsidRPr="006A4136">
      <w:rPr>
        <w:sz w:val="16"/>
      </w:rPr>
      <w:instrText xml:space="preserve"> </w:instrText>
    </w:r>
    <w:r>
      <w:rPr>
        <w:sz w:val="16"/>
      </w:rPr>
      <w:fldChar w:fldCharType="begin"/>
    </w:r>
    <w:r>
      <w:rPr>
        <w:sz w:val="16"/>
      </w:rPr>
      <w:instrText xml:space="preserve"> </w:instrText>
    </w:r>
    <w:r w:rsidRPr="006A4136">
      <w:rPr>
        <w:sz w:val="16"/>
      </w:rPr>
      <w:instrText>DOCPROPERTY "MLCFooter"</w:instrText>
    </w:r>
    <w:r>
      <w:rPr>
        <w:sz w:val="16"/>
      </w:rPr>
      <w:instrText xml:space="preserve"> </w:instrText>
    </w:r>
    <w:r>
      <w:rPr>
        <w:sz w:val="16"/>
      </w:rPr>
      <w:fldChar w:fldCharType="separate"/>
    </w:r>
    <w:r>
      <w:rPr>
        <w:sz w:val="16"/>
      </w:rPr>
      <w:instrText>2262433.v1</w:instrText>
    </w:r>
    <w:r>
      <w:rPr>
        <w:sz w:val="16"/>
      </w:rPr>
      <w:fldChar w:fldCharType="end"/>
    </w:r>
    <w:r>
      <w:rPr>
        <w:sz w:val="16"/>
      </w:rPr>
      <w:instrText xml:space="preserve"> </w:instrText>
    </w:r>
    <w:r>
      <w:rPr>
        <w:sz w:val="16"/>
      </w:rPr>
      <w:fldChar w:fldCharType="separate"/>
    </w:r>
    <w:r w:rsidR="00E85DDB">
      <w:rPr>
        <w:noProof/>
        <w:sz w:val="16"/>
      </w:rPr>
      <w:t>2262433.v1</w:t>
    </w:r>
    <w:r>
      <w:rPr>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6" w:name="MLC_Footer1_2"/>
  <w:bookmarkEnd w:id="6"/>
  <w:p w14:paraId="3717A508" w14:textId="409537AA" w:rsidR="006A4136" w:rsidRDefault="006A4136">
    <w:pPr>
      <w:pStyle w:val="Footer"/>
    </w:pPr>
    <w:r>
      <w:rPr>
        <w:sz w:val="16"/>
      </w:rPr>
      <w:fldChar w:fldCharType="begin"/>
    </w:r>
    <w:r>
      <w:rPr>
        <w:sz w:val="16"/>
      </w:rPr>
      <w:instrText xml:space="preserve"> </w:instrText>
    </w:r>
    <w:r w:rsidRPr="006A4136">
      <w:rPr>
        <w:sz w:val="16"/>
      </w:rPr>
      <w:instrText xml:space="preserve">IF </w:instrText>
    </w:r>
    <w:r>
      <w:rPr>
        <w:sz w:val="16"/>
      </w:rPr>
      <w:fldChar w:fldCharType="begin"/>
    </w:r>
    <w:r>
      <w:rPr>
        <w:sz w:val="16"/>
      </w:rPr>
      <w:instrText xml:space="preserve"> </w:instrText>
    </w:r>
    <w:r w:rsidRPr="006A4136">
      <w:rPr>
        <w:sz w:val="16"/>
      </w:rPr>
      <w:instrText>PAGE</w:instrText>
    </w:r>
    <w:r>
      <w:rPr>
        <w:sz w:val="16"/>
      </w:rPr>
      <w:instrText xml:space="preserve"> </w:instrText>
    </w:r>
    <w:r>
      <w:rPr>
        <w:sz w:val="16"/>
      </w:rPr>
      <w:fldChar w:fldCharType="separate"/>
    </w:r>
    <w:r w:rsidR="00E85DDB">
      <w:rPr>
        <w:noProof/>
        <w:sz w:val="16"/>
      </w:rPr>
      <w:instrText>1</w:instrText>
    </w:r>
    <w:r>
      <w:rPr>
        <w:sz w:val="16"/>
      </w:rPr>
      <w:fldChar w:fldCharType="end"/>
    </w:r>
    <w:r w:rsidRPr="006A4136">
      <w:rPr>
        <w:sz w:val="16"/>
      </w:rPr>
      <w:instrText xml:space="preserve"> = </w:instrText>
    </w:r>
    <w:r>
      <w:rPr>
        <w:sz w:val="16"/>
      </w:rPr>
      <w:fldChar w:fldCharType="begin"/>
    </w:r>
    <w:r>
      <w:rPr>
        <w:sz w:val="16"/>
      </w:rPr>
      <w:instrText xml:space="preserve"> </w:instrText>
    </w:r>
    <w:r w:rsidRPr="006A4136">
      <w:rPr>
        <w:sz w:val="16"/>
      </w:rPr>
      <w:instrText>NUMPAGES</w:instrText>
    </w:r>
    <w:r>
      <w:rPr>
        <w:sz w:val="16"/>
      </w:rPr>
      <w:instrText xml:space="preserve"> </w:instrText>
    </w:r>
    <w:r>
      <w:rPr>
        <w:sz w:val="16"/>
      </w:rPr>
      <w:fldChar w:fldCharType="separate"/>
    </w:r>
    <w:r w:rsidR="00E85DDB">
      <w:rPr>
        <w:noProof/>
        <w:sz w:val="16"/>
      </w:rPr>
      <w:instrText>2</w:instrText>
    </w:r>
    <w:r>
      <w:rPr>
        <w:sz w:val="16"/>
      </w:rPr>
      <w:fldChar w:fldCharType="end"/>
    </w:r>
    <w:r w:rsidRPr="006A4136">
      <w:rPr>
        <w:sz w:val="16"/>
      </w:rPr>
      <w:instrText xml:space="preserve"> </w:instrText>
    </w:r>
    <w:r>
      <w:rPr>
        <w:sz w:val="16"/>
      </w:rPr>
      <w:fldChar w:fldCharType="begin"/>
    </w:r>
    <w:r>
      <w:rPr>
        <w:sz w:val="16"/>
      </w:rPr>
      <w:instrText xml:space="preserve"> </w:instrText>
    </w:r>
    <w:r w:rsidRPr="006A4136">
      <w:rPr>
        <w:sz w:val="16"/>
      </w:rPr>
      <w:instrText>DOCPROPERTY "MLCFooter"</w:instrText>
    </w:r>
    <w:r>
      <w:rPr>
        <w:sz w:val="16"/>
      </w:rPr>
      <w:instrText xml:space="preserve"> </w:instrText>
    </w:r>
    <w:r>
      <w:rPr>
        <w:sz w:val="16"/>
      </w:rPr>
      <w:fldChar w:fldCharType="separate"/>
    </w:r>
    <w:r>
      <w:rPr>
        <w:sz w:val="16"/>
      </w:rPr>
      <w:instrText>2262433.v1</w:instrText>
    </w:r>
    <w:r>
      <w:rPr>
        <w:sz w:val="16"/>
      </w:rPr>
      <w:fldChar w:fldCharType="end"/>
    </w:r>
    <w:r>
      <w:rPr>
        <w:sz w:val="16"/>
      </w:rPr>
      <w:instrText xml:space="preserve"> </w:instrText>
    </w:r>
    <w:r>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F05F50" w14:textId="77777777" w:rsidR="003D784F" w:rsidRDefault="003D784F">
      <w:r>
        <w:separator/>
      </w:r>
    </w:p>
  </w:footnote>
  <w:footnote w:type="continuationSeparator" w:id="0">
    <w:p w14:paraId="2C9A3BCC" w14:textId="77777777" w:rsidR="003D784F" w:rsidRDefault="003D78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F1848D" w14:textId="77777777" w:rsidR="006A4136" w:rsidRDefault="006A41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A70B86" w14:textId="77777777" w:rsidR="006A4136" w:rsidRDefault="006A41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42255F" w14:textId="560EF249" w:rsidR="00FD03B7" w:rsidRDefault="009C40D8">
    <w:pPr>
      <w:pStyle w:val="Header"/>
      <w:ind w:left="0"/>
    </w:pPr>
    <w:r>
      <w:rPr>
        <w:noProof/>
      </w:rPr>
      <mc:AlternateContent>
        <mc:Choice Requires="wps">
          <w:drawing>
            <wp:anchor distT="0" distB="0" distL="114300" distR="114300" simplePos="0" relativeHeight="251657216" behindDoc="0" locked="0" layoutInCell="1" allowOverlap="1" wp14:anchorId="0BCA1A8E" wp14:editId="6C8F71D5">
              <wp:simplePos x="0" y="0"/>
              <wp:positionH relativeFrom="column">
                <wp:posOffset>3823335</wp:posOffset>
              </wp:positionH>
              <wp:positionV relativeFrom="paragraph">
                <wp:posOffset>231140</wp:posOffset>
              </wp:positionV>
              <wp:extent cx="2171700" cy="34290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7ECC5D" w14:textId="77777777" w:rsidR="00FD03B7" w:rsidRPr="009C40D8" w:rsidRDefault="00FD03B7">
                          <w:pPr>
                            <w:jc w:val="center"/>
                            <w:rPr>
                              <w:smallCaps/>
                              <w:sz w:val="28"/>
                              <w14:shadow w14:blurRad="50800" w14:dist="38100" w14:dir="2700000" w14:sx="100000" w14:sy="100000" w14:kx="0" w14:ky="0" w14:algn="tl">
                                <w14:srgbClr w14:val="000000">
                                  <w14:alpha w14:val="60000"/>
                                </w14:srgbClr>
                              </w14:shadow>
                            </w:rPr>
                          </w:pPr>
                          <w:proofErr w:type="gramStart"/>
                          <w:r w:rsidRPr="009C40D8">
                            <w:rPr>
                              <w:smallCaps/>
                              <w:sz w:val="28"/>
                              <w14:shadow w14:blurRad="50800" w14:dist="38100" w14:dir="2700000" w14:sx="100000" w14:sy="100000" w14:kx="0" w14:ky="0" w14:algn="tl">
                                <w14:srgbClr w14:val="000000">
                                  <w14:alpha w14:val="60000"/>
                                </w14:srgbClr>
                              </w14:shadow>
                            </w:rPr>
                            <w:t>M  E</w:t>
                          </w:r>
                          <w:proofErr w:type="gramEnd"/>
                          <w:r w:rsidRPr="009C40D8">
                            <w:rPr>
                              <w:smallCaps/>
                              <w:sz w:val="28"/>
                              <w14:shadow w14:blurRad="50800" w14:dist="38100" w14:dir="2700000" w14:sx="100000" w14:sy="100000" w14:kx="0" w14:ky="0" w14:algn="tl">
                                <w14:srgbClr w14:val="000000">
                                  <w14:alpha w14:val="60000"/>
                                </w14:srgbClr>
                              </w14:shadow>
                            </w:rPr>
                            <w:t xml:space="preserve">  M  O  R  A  N  D  U  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CA1A8E" id="_x0000_t202" coordsize="21600,21600" o:spt="202" path="m,l,21600r21600,l21600,xe">
              <v:stroke joinstyle="miter"/>
              <v:path gradientshapeok="t" o:connecttype="rect"/>
            </v:shapetype>
            <v:shape id="Text Box 1" o:spid="_x0000_s1026" type="#_x0000_t202" style="position:absolute;margin-left:301.05pt;margin-top:18.2pt;width:171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" stroked="f">
              <v:textbox>
                <w:txbxContent>
                  <w:p w14:paraId="3A7ECC5D" w14:textId="77777777" w:rsidR="00FD03B7" w:rsidRPr="009C40D8" w:rsidRDefault="00FD03B7">
                    <w:pPr>
                      <w:jc w:val="center"/>
                      <w:rPr>
                        <w:smallCaps/>
                        <w:sz w:val="28"/>
                        <w14:shadow w14:blurRad="50800" w14:dist="38100" w14:dir="2700000" w14:sx="100000" w14:sy="100000" w14:kx="0" w14:ky="0" w14:algn="tl">
                          <w14:srgbClr w14:val="000000">
                            <w14:alpha w14:val="60000"/>
                          </w14:srgbClr>
                        </w14:shadow>
                      </w:rPr>
                    </w:pPr>
                    <w:r w:rsidRPr="009C40D8">
                      <w:rPr>
                        <w:smallCaps/>
                        <w:sz w:val="28"/>
                        <w14:shadow w14:blurRad="50800" w14:dist="38100" w14:dir="2700000" w14:sx="100000" w14:sy="100000" w14:kx="0" w14:ky="0" w14:algn="tl">
                          <w14:srgbClr w14:val="000000">
                            <w14:alpha w14:val="60000"/>
                          </w14:srgbClr>
                        </w14:shadow>
                      </w:rPr>
                      <w:t>M  E  M  O  R  A  N  D  U  M</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63697813" wp14:editId="09646EE1">
              <wp:simplePos x="0" y="0"/>
              <wp:positionH relativeFrom="column">
                <wp:posOffset>2566035</wp:posOffset>
              </wp:positionH>
              <wp:positionV relativeFrom="paragraph">
                <wp:posOffset>116840</wp:posOffset>
              </wp:positionV>
              <wp:extent cx="228600" cy="57150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A37401" w14:textId="77777777" w:rsidR="00FD03B7" w:rsidRDefault="00FD03B7" w:rsidP="00FD03B7">
                          <w:pPr>
                            <w:pBdr>
                              <w:left w:val="single" w:sz="4" w:space="0" w:color="auto"/>
                            </w:pBdr>
                            <w:rPr>
                              <w:sz w:val="18"/>
                            </w:rPr>
                          </w:pPr>
                        </w:p>
                        <w:p w14:paraId="15A61811" w14:textId="77777777" w:rsidR="00FD03B7" w:rsidRDefault="00FD03B7" w:rsidP="00FD03B7">
                          <w:pPr>
                            <w:pBdr>
                              <w:left w:val="single" w:sz="4" w:space="0" w:color="auto"/>
                            </w:pBdr>
                            <w:rPr>
                              <w:sz w:val="18"/>
                            </w:rPr>
                          </w:pPr>
                        </w:p>
                        <w:p w14:paraId="1FF60584" w14:textId="77777777" w:rsidR="00FD03B7" w:rsidRDefault="00FD03B7" w:rsidP="00FD03B7">
                          <w:pPr>
                            <w:pBdr>
                              <w:left w:val="single" w:sz="4" w:space="0" w:color="auto"/>
                            </w:pBd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697813" id="Text Box 4" o:spid="_x0000_s1027" type="#_x0000_t202" style="position:absolute;margin-left:202.05pt;margin-top:9.2pt;width:18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" filled="f" stroked="f">
              <v:textbox>
                <w:txbxContent>
                  <w:p w14:paraId="2CA37401" w14:textId="77777777" w:rsidR="00FD03B7" w:rsidRDefault="00FD03B7" w:rsidP="00FD03B7">
                    <w:pPr>
                      <w:pBdr>
                        <w:left w:val="single" w:sz="4" w:space="0" w:color="auto"/>
                      </w:pBdr>
                      <w:rPr>
                        <w:sz w:val="18"/>
                      </w:rPr>
                    </w:pPr>
                  </w:p>
                  <w:p w14:paraId="15A61811" w14:textId="77777777" w:rsidR="00FD03B7" w:rsidRDefault="00FD03B7" w:rsidP="00FD03B7">
                    <w:pPr>
                      <w:pBdr>
                        <w:left w:val="single" w:sz="4" w:space="0" w:color="auto"/>
                      </w:pBdr>
                      <w:rPr>
                        <w:sz w:val="18"/>
                      </w:rPr>
                    </w:pPr>
                  </w:p>
                  <w:p w14:paraId="1FF60584" w14:textId="77777777" w:rsidR="00FD03B7" w:rsidRDefault="00FD03B7" w:rsidP="00FD03B7">
                    <w:pPr>
                      <w:pBdr>
                        <w:left w:val="single" w:sz="4" w:space="0" w:color="auto"/>
                      </w:pBdr>
                      <w:rPr>
                        <w:sz w:val="18"/>
                      </w:rPr>
                    </w:pPr>
                  </w:p>
                </w:txbxContent>
              </v:textbox>
            </v:shape>
          </w:pict>
        </mc:Fallback>
      </mc:AlternateContent>
    </w:r>
    <w:r w:rsidR="00FD03B7">
      <w:fldChar w:fldCharType="begin"/>
    </w:r>
    <w:r w:rsidR="00FD03B7">
      <w:instrText xml:space="preserve"> ADVANCE \l 15 </w:instrText>
    </w:r>
    <w:r w:rsidR="00FD03B7">
      <w:fldChar w:fldCharType="end"/>
    </w:r>
    <w:r>
      <w:rPr>
        <w:noProof/>
      </w:rPr>
      <w:drawing>
        <wp:inline distT="0" distB="0" distL="0" distR="0" wp14:anchorId="60305D79" wp14:editId="2050114C">
          <wp:extent cx="2642870" cy="7099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2870" cy="709930"/>
                  </a:xfrm>
                  <a:prstGeom prst="rect">
                    <a:avLst/>
                  </a:prstGeom>
                  <a:noFill/>
                  <a:ln>
                    <a:noFill/>
                  </a:ln>
                </pic:spPr>
              </pic:pic>
            </a:graphicData>
          </a:graphic>
        </wp:inline>
      </w:drawing>
    </w:r>
  </w:p>
  <w:p w14:paraId="43A09CDB" w14:textId="77777777" w:rsidR="00FD03B7" w:rsidRDefault="00FD03B7">
    <w:pPr>
      <w:pStyle w:val="Header"/>
      <w:spacing w:after="0"/>
      <w:rPr>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92666"/>
    <w:multiLevelType w:val="multilevel"/>
    <w:tmpl w:val="3DD807B8"/>
    <w:lvl w:ilvl="0">
      <w:start w:val="1"/>
      <w:numFmt w:val="decimal"/>
      <w:pStyle w:val="Heading1"/>
      <w:lvlText w:val="%1."/>
      <w:lvlJc w:val="left"/>
      <w:pPr>
        <w:tabs>
          <w:tab w:val="num" w:pos="360"/>
        </w:tabs>
        <w:ind w:left="360" w:hanging="360"/>
      </w:pPr>
    </w:lvl>
    <w:lvl w:ilvl="1">
      <w:start w:val="1"/>
      <w:numFmt w:val="lowerLetter"/>
      <w:pStyle w:val="Heading2"/>
      <w:lvlText w:val="%2."/>
      <w:lvlJc w:val="left"/>
      <w:pPr>
        <w:tabs>
          <w:tab w:val="num" w:pos="720"/>
        </w:tabs>
        <w:ind w:left="720" w:hanging="360"/>
      </w:pPr>
    </w:lvl>
    <w:lvl w:ilvl="2">
      <w:start w:val="1"/>
      <w:numFmt w:val="lowerRoman"/>
      <w:pStyle w:val="Heading3"/>
      <w:lvlText w:val="(%3)"/>
      <w:lvlJc w:val="left"/>
      <w:pPr>
        <w:tabs>
          <w:tab w:val="num" w:pos="1440"/>
        </w:tabs>
        <w:ind w:left="1080" w:hanging="360"/>
      </w:pPr>
    </w:lvl>
    <w:lvl w:ilvl="3">
      <w:start w:val="1"/>
      <w:numFmt w:val="decimal"/>
      <w:pStyle w:val="Heading4"/>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33FC1163"/>
    <w:multiLevelType w:val="multilevel"/>
    <w:tmpl w:val="83EC8024"/>
    <w:lvl w:ilvl="0">
      <w:start w:val="1"/>
      <w:numFmt w:val="decimal"/>
      <w:lvlText w:val="%1."/>
      <w:lvlJc w:val="left"/>
      <w:pPr>
        <w:tabs>
          <w:tab w:val="num" w:pos="720"/>
        </w:tabs>
        <w:ind w:left="720" w:hanging="720"/>
      </w:pPr>
    </w:lvl>
    <w:lvl w:ilvl="1">
      <w:start w:val="1"/>
      <w:numFmt w:val="lowerLetter"/>
      <w:lvlText w:val="%2."/>
      <w:lvlJc w:val="left"/>
      <w:pPr>
        <w:tabs>
          <w:tab w:val="num" w:pos="1080"/>
        </w:tabs>
        <w:ind w:left="720" w:firstLine="0"/>
      </w:pPr>
    </w:lvl>
    <w:lvl w:ilvl="2">
      <w:start w:val="1"/>
      <w:numFmt w:val="lowerRoman"/>
      <w:lvlText w:val="(%3)"/>
      <w:lvlJc w:val="left"/>
      <w:pPr>
        <w:tabs>
          <w:tab w:val="num" w:pos="1440"/>
        </w:tabs>
        <w:ind w:left="144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pStyle w:val="Heading6"/>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365B766B"/>
    <w:multiLevelType w:val="hybridMultilevel"/>
    <w:tmpl w:val="4FA49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12574F"/>
    <w:multiLevelType w:val="multilevel"/>
    <w:tmpl w:val="BA002C1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4F913C75"/>
    <w:multiLevelType w:val="multilevel"/>
    <w:tmpl w:val="EE164DF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77344C20"/>
    <w:multiLevelType w:val="multilevel"/>
    <w:tmpl w:val="2AEAAF7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4"/>
  </w:num>
  <w:num w:numId="2">
    <w:abstractNumId w:val="4"/>
  </w:num>
  <w:num w:numId="3">
    <w:abstractNumId w:val="3"/>
  </w:num>
  <w:num w:numId="4">
    <w:abstractNumId w:val="3"/>
  </w:num>
  <w:num w:numId="5">
    <w:abstractNumId w:val="3"/>
  </w:num>
  <w:num w:numId="6">
    <w:abstractNumId w:val="3"/>
  </w:num>
  <w:num w:numId="7">
    <w:abstractNumId w:val="5"/>
  </w:num>
  <w:num w:numId="8">
    <w:abstractNumId w:val="0"/>
  </w:num>
  <w:num w:numId="9">
    <w:abstractNumId w:val="0"/>
  </w:num>
  <w:num w:numId="10">
    <w:abstractNumId w:val="0"/>
  </w:num>
  <w:num w:numId="11">
    <w:abstractNumId w:val="0"/>
  </w:num>
  <w:num w:numId="12">
    <w:abstractNumId w:val="0"/>
  </w:num>
  <w:num w:numId="13">
    <w:abstractNumId w:val="0"/>
  </w:num>
  <w:num w:numId="14">
    <w:abstractNumId w:val="1"/>
  </w:num>
  <w:num w:numId="15">
    <w:abstractNumId w:val="0"/>
  </w:num>
  <w:num w:numId="16">
    <w:abstractNumId w:val="0"/>
  </w:num>
  <w:num w:numId="17">
    <w:abstractNumId w:val="0"/>
  </w:num>
  <w:num w:numId="18">
    <w:abstractNumId w:val="0"/>
  </w:num>
  <w:num w:numId="19">
    <w:abstractNumId w:val="1"/>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627"/>
    <w:rsid w:val="003D784F"/>
    <w:rsid w:val="006A4136"/>
    <w:rsid w:val="00776629"/>
    <w:rsid w:val="009C40D8"/>
    <w:rsid w:val="00B72627"/>
    <w:rsid w:val="00E85DDB"/>
    <w:rsid w:val="00FD0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63524D"/>
  <w15:chartTrackingRefBased/>
  <w15:docId w15:val="{40550989-383A-4C43-8E03-83821A247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numPr>
        <w:numId w:val="15"/>
      </w:numPr>
      <w:outlineLvl w:val="0"/>
    </w:pPr>
  </w:style>
  <w:style w:type="paragraph" w:styleId="Heading2">
    <w:name w:val="heading 2"/>
    <w:basedOn w:val="Normal"/>
    <w:next w:val="Normal"/>
    <w:qFormat/>
    <w:pPr>
      <w:numPr>
        <w:ilvl w:val="1"/>
        <w:numId w:val="16"/>
      </w:numPr>
      <w:outlineLvl w:val="1"/>
    </w:pPr>
  </w:style>
  <w:style w:type="paragraph" w:styleId="Heading3">
    <w:name w:val="heading 3"/>
    <w:basedOn w:val="Normal"/>
    <w:next w:val="Normal"/>
    <w:qFormat/>
    <w:pPr>
      <w:numPr>
        <w:ilvl w:val="2"/>
        <w:numId w:val="17"/>
      </w:numPr>
      <w:tabs>
        <w:tab w:val="clear" w:pos="1440"/>
      </w:tabs>
      <w:outlineLvl w:val="2"/>
    </w:pPr>
  </w:style>
  <w:style w:type="paragraph" w:styleId="Heading4">
    <w:name w:val="heading 4"/>
    <w:basedOn w:val="Normal"/>
    <w:next w:val="Normal"/>
    <w:qFormat/>
    <w:pPr>
      <w:numPr>
        <w:ilvl w:val="3"/>
        <w:numId w:val="18"/>
      </w:numPr>
      <w:tabs>
        <w:tab w:val="clear" w:pos="1440"/>
      </w:tabs>
      <w:ind w:left="1872" w:hanging="432"/>
      <w:outlineLvl w:val="3"/>
    </w:pPr>
  </w:style>
  <w:style w:type="paragraph" w:styleId="Heading5">
    <w:name w:val="heading 5"/>
    <w:basedOn w:val="Normal"/>
    <w:next w:val="Normal"/>
    <w:qFormat/>
    <w:pPr>
      <w:tabs>
        <w:tab w:val="num" w:pos="1800"/>
      </w:tabs>
      <w:ind w:left="2592" w:hanging="432"/>
      <w:outlineLvl w:val="4"/>
    </w:pPr>
  </w:style>
  <w:style w:type="paragraph" w:styleId="Heading6">
    <w:name w:val="heading 6"/>
    <w:basedOn w:val="Normal"/>
    <w:next w:val="Normal"/>
    <w:qFormat/>
    <w:pPr>
      <w:numPr>
        <w:ilvl w:val="5"/>
        <w:numId w:val="19"/>
      </w:numPr>
      <w:tabs>
        <w:tab w:val="clear" w:pos="2160"/>
      </w:tabs>
      <w:ind w:left="3312" w:hanging="432"/>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TOC1">
    <w:name w:val="toc 1"/>
    <w:basedOn w:val="Normal"/>
    <w:next w:val="Normal"/>
    <w:autoRedefine/>
    <w:semiHidden/>
    <w:pPr>
      <w:spacing w:after="120"/>
    </w:pPr>
    <w:rPr>
      <w:rFonts w:ascii="Arial" w:hAnsi="Arial"/>
    </w:rPr>
  </w:style>
  <w:style w:type="paragraph" w:styleId="TOC2">
    <w:name w:val="toc 2"/>
    <w:basedOn w:val="Normal"/>
    <w:next w:val="Normal"/>
    <w:autoRedefine/>
    <w:semiHidden/>
    <w:pPr>
      <w:spacing w:after="120"/>
      <w:ind w:left="245"/>
    </w:pPr>
  </w:style>
  <w:style w:type="paragraph" w:styleId="TOC3">
    <w:name w:val="toc 3"/>
    <w:basedOn w:val="Normal"/>
    <w:next w:val="Normal"/>
    <w:autoRedefine/>
    <w:semiHidden/>
    <w:pPr>
      <w:spacing w:after="120"/>
      <w:ind w:left="475"/>
    </w:pPr>
  </w:style>
  <w:style w:type="paragraph" w:styleId="TOC4">
    <w:name w:val="toc 4"/>
    <w:basedOn w:val="Normal"/>
    <w:next w:val="Normal"/>
    <w:autoRedefine/>
    <w:semiHidden/>
    <w:pPr>
      <w:spacing w:after="120"/>
      <w:ind w:left="720"/>
    </w:pPr>
  </w:style>
  <w:style w:type="paragraph" w:styleId="TOC5">
    <w:name w:val="toc 5"/>
    <w:basedOn w:val="Normal"/>
    <w:next w:val="Normal"/>
    <w:autoRedefine/>
    <w:semiHidden/>
    <w:pPr>
      <w:spacing w:after="120"/>
      <w:ind w:left="965"/>
    </w:pPr>
  </w:style>
  <w:style w:type="paragraph" w:styleId="TOC6">
    <w:name w:val="toc 6"/>
    <w:basedOn w:val="Normal"/>
    <w:next w:val="Normal"/>
    <w:autoRedefine/>
    <w:semiHidden/>
    <w:pPr>
      <w:spacing w:after="120"/>
      <w:ind w:left="1195"/>
    </w:pPr>
  </w:style>
  <w:style w:type="paragraph" w:styleId="TOC7">
    <w:name w:val="toc 7"/>
    <w:basedOn w:val="Normal"/>
    <w:next w:val="Normal"/>
    <w:autoRedefine/>
    <w:semiHidden/>
    <w:pPr>
      <w:spacing w:after="120"/>
      <w:ind w:left="1440"/>
    </w:pPr>
  </w:style>
  <w:style w:type="paragraph" w:styleId="TOC8">
    <w:name w:val="toc 8"/>
    <w:basedOn w:val="Normal"/>
    <w:next w:val="Normal"/>
    <w:autoRedefine/>
    <w:semiHidden/>
    <w:pPr>
      <w:spacing w:after="120"/>
      <w:ind w:left="1685"/>
    </w:pPr>
  </w:style>
  <w:style w:type="paragraph" w:styleId="TOC9">
    <w:name w:val="toc 9"/>
    <w:basedOn w:val="Normal"/>
    <w:next w:val="Normal"/>
    <w:autoRedefine/>
    <w:semiHidden/>
    <w:pPr>
      <w:spacing w:after="120"/>
      <w:ind w:left="1915"/>
    </w:pPr>
  </w:style>
  <w:style w:type="paragraph" w:styleId="Header">
    <w:name w:val="header"/>
    <w:basedOn w:val="Normal"/>
    <w:pPr>
      <w:tabs>
        <w:tab w:val="center" w:pos="4320"/>
        <w:tab w:val="right" w:pos="8640"/>
      </w:tabs>
      <w:spacing w:after="240"/>
      <w:ind w:left="-144"/>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ListParagraph">
    <w:name w:val="List Paragraph"/>
    <w:basedOn w:val="Normal"/>
    <w:uiPriority w:val="34"/>
    <w:qFormat/>
    <w:rsid w:val="00B72627"/>
    <w:pPr>
      <w:spacing w:after="160" w:line="259" w:lineRule="auto"/>
      <w:ind w:left="720"/>
      <w:contextualSpacing/>
    </w:pPr>
    <w:rPr>
      <w:rFonts w:ascii="Calibri" w:eastAsia="Calibri" w:hAnsi="Calibri"/>
      <w:sz w:val="22"/>
      <w:szCs w:val="22"/>
    </w:rPr>
  </w:style>
  <w:style w:type="table" w:styleId="TableGrid">
    <w:name w:val="Table Grid"/>
    <w:basedOn w:val="TableNormal"/>
    <w:rsid w:val="00B726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template\MEMOTIMES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C:\winword\template\MEMOTIMESNEW.DOT</Template>
  <TotalTime>1</TotalTime>
  <Pages>2</Pages>
  <Words>635</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  E  M  O  R  A  N  D  U  M</vt:lpstr>
    </vt:vector>
  </TitlesOfParts>
  <Company> </Company>
  <LinksUpToDate>false</LinksUpToDate>
  <CharactersWithSpaces>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  E  M  O  R  A  N  D  U  M</dc:title>
  <dc:subject/>
  <dc:creator>Jamie Pitkiewicz</dc:creator>
  <cp:keywords/>
  <cp:lastModifiedBy>lauri cole</cp:lastModifiedBy>
  <cp:revision>2</cp:revision>
  <cp:lastPrinted>2003-01-14T19:59:00Z</cp:lastPrinted>
  <dcterms:created xsi:type="dcterms:W3CDTF">2021-05-24T17:15:00Z</dcterms:created>
  <dcterms:modified xsi:type="dcterms:W3CDTF">2021-05-24T17:15:00Z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LCFooter">
    <vt:lpwstr>2262433.v1</vt:lpwstr>
  </property>
</Properties>
</file>