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7AFE4" w14:textId="07020149" w:rsidR="00985778" w:rsidRDefault="00985778" w:rsidP="00985778">
      <w:pPr>
        <w:spacing w:after="0"/>
        <w:rPr>
          <w:b/>
          <w:bCs/>
          <w:sz w:val="25"/>
          <w:szCs w:val="25"/>
        </w:rPr>
      </w:pPr>
      <w:r>
        <w:rPr>
          <w:b/>
          <w:bCs/>
          <w:sz w:val="25"/>
          <w:szCs w:val="25"/>
        </w:rPr>
        <w:t>March 7, 2022</w:t>
      </w:r>
    </w:p>
    <w:p w14:paraId="72F7FABC" w14:textId="77777777" w:rsidR="00985778" w:rsidRDefault="00985778" w:rsidP="00985778">
      <w:pPr>
        <w:spacing w:after="0"/>
        <w:rPr>
          <w:b/>
          <w:bCs/>
          <w:sz w:val="25"/>
          <w:szCs w:val="25"/>
        </w:rPr>
      </w:pPr>
    </w:p>
    <w:p w14:paraId="74E50B72" w14:textId="71C3F700" w:rsidR="00434154" w:rsidRPr="00824885" w:rsidRDefault="00434154" w:rsidP="00434154">
      <w:pPr>
        <w:spacing w:after="0"/>
        <w:jc w:val="center"/>
        <w:rPr>
          <w:b/>
          <w:bCs/>
          <w:sz w:val="25"/>
          <w:szCs w:val="25"/>
        </w:rPr>
      </w:pPr>
      <w:r w:rsidRPr="00824885">
        <w:rPr>
          <w:b/>
          <w:bCs/>
          <w:sz w:val="25"/>
          <w:szCs w:val="25"/>
        </w:rPr>
        <w:t>OASAS ARPA</w:t>
      </w:r>
      <w:r>
        <w:rPr>
          <w:b/>
          <w:bCs/>
          <w:sz w:val="25"/>
          <w:szCs w:val="25"/>
        </w:rPr>
        <w:t xml:space="preserve"> of 2021 Fee</w:t>
      </w:r>
      <w:r w:rsidRPr="00824885">
        <w:rPr>
          <w:b/>
          <w:bCs/>
          <w:sz w:val="25"/>
          <w:szCs w:val="25"/>
        </w:rPr>
        <w:t xml:space="preserve"> Enhancements - Workforce Funding Guidance</w:t>
      </w:r>
    </w:p>
    <w:p w14:paraId="11F5149F" w14:textId="77777777" w:rsidR="00434154" w:rsidRDefault="00434154" w:rsidP="00434154">
      <w:pPr>
        <w:spacing w:after="0"/>
      </w:pPr>
    </w:p>
    <w:p w14:paraId="0224C326" w14:textId="77777777" w:rsidR="00434154" w:rsidRDefault="00434154" w:rsidP="00434154">
      <w:pPr>
        <w:spacing w:after="0"/>
      </w:pPr>
      <w:r>
        <w:t xml:space="preserve">All OASAS providers were notified in late January 2022 that OASAS is working to implement Medicaid fee enhancements in response to additional Federal funding provided by the </w:t>
      </w:r>
      <w:r w:rsidRPr="00E14D9C">
        <w:t>ARPA</w:t>
      </w:r>
      <w:r>
        <w:t xml:space="preserve"> (American Rescue Plan Act of 2021).</w:t>
      </w:r>
      <w:r w:rsidRPr="0074410E">
        <w:t xml:space="preserve"> </w:t>
      </w:r>
      <w:r>
        <w:t xml:space="preserve"> As previously described, f</w:t>
      </w:r>
      <w:r w:rsidRPr="0074410E">
        <w:t xml:space="preserve">reestanding </w:t>
      </w:r>
      <w:r>
        <w:t>(non-hospital) Part 822 outpatient services</w:t>
      </w:r>
      <w:r w:rsidRPr="0074410E">
        <w:t xml:space="preserve"> </w:t>
      </w:r>
      <w:r>
        <w:t xml:space="preserve">and all Part 820 programs (including reintegration) </w:t>
      </w:r>
      <w:r w:rsidRPr="0074410E">
        <w:t xml:space="preserve">will receive temporary </w:t>
      </w:r>
      <w:r>
        <w:t>fee</w:t>
      </w:r>
      <w:r w:rsidRPr="0074410E">
        <w:t xml:space="preserve"> increase</w:t>
      </w:r>
      <w:r>
        <w:t>s.  Specifically,</w:t>
      </w:r>
      <w:r w:rsidRPr="0074410E">
        <w:t xml:space="preserve"> </w:t>
      </w:r>
      <w:r>
        <w:t xml:space="preserve">freestanding </w:t>
      </w:r>
      <w:r w:rsidRPr="0074410E">
        <w:t>APG rate codes</w:t>
      </w:r>
      <w:r>
        <w:t>, freestanding</w:t>
      </w:r>
      <w:r w:rsidRPr="0074410E">
        <w:t xml:space="preserve"> OTP weekly bundle rate codes</w:t>
      </w:r>
      <w:r>
        <w:t>, and all Part 820 rate codes</w:t>
      </w:r>
      <w:r w:rsidRPr="0074410E">
        <w:t xml:space="preserve"> </w:t>
      </w:r>
      <w:r>
        <w:t xml:space="preserve">(including reintegration under new rate code 1146) will receive increases </w:t>
      </w:r>
      <w:r w:rsidRPr="0074410E">
        <w:t xml:space="preserve">for dates of service from 11-1-21 to 6-30-22.  </w:t>
      </w:r>
      <w:r>
        <w:t>A significant portion of t</w:t>
      </w:r>
      <w:r w:rsidRPr="0074410E">
        <w:t>his increase will be paid retroactively to the extent necessitated by approval delays</w:t>
      </w:r>
      <w:r>
        <w:t>.</w:t>
      </w:r>
    </w:p>
    <w:p w14:paraId="575F42CC" w14:textId="77777777" w:rsidR="00434154" w:rsidRDefault="00434154" w:rsidP="00434154">
      <w:pPr>
        <w:spacing w:after="0"/>
      </w:pPr>
    </w:p>
    <w:p w14:paraId="7C927C93" w14:textId="77777777" w:rsidR="00434154" w:rsidRDefault="00434154" w:rsidP="00434154">
      <w:pPr>
        <w:spacing w:after="0"/>
      </w:pPr>
      <w:r>
        <w:t xml:space="preserve">As shown in the table below, the workforce funding requirements described in this document apply only to a portion of the ARPA fee enhancements for Part 822 and Part 820.  Providers may use the non-workforce portion of the fee enhancements to strengthen their programs as they feel is appropriate, however the workforce funding portion of the fee enhancements must go to workforce funding under the guidelines described below.  </w:t>
      </w:r>
    </w:p>
    <w:p w14:paraId="1AC21CE6" w14:textId="77777777" w:rsidR="00434154" w:rsidRDefault="00434154" w:rsidP="00434154">
      <w:pPr>
        <w:spacing w:after="0"/>
      </w:pPr>
    </w:p>
    <w:p w14:paraId="23DB6305" w14:textId="77777777" w:rsidR="00434154" w:rsidRDefault="00434154" w:rsidP="00434154">
      <w:pPr>
        <w:spacing w:after="0"/>
      </w:pPr>
      <w:r>
        <w:t xml:space="preserve">Note:  The fee enhancements for the proposed freestanding Part </w:t>
      </w:r>
      <w:r w:rsidRPr="006372A1">
        <w:t>822 “in-community” (off-site) rate</w:t>
      </w:r>
      <w:r>
        <w:t xml:space="preserve"> codes (APG rate codes 1080 and 1088 - as described in the January notification) do not contain any workforce funding dollars and are intended solely to help cover the additional cost of providing services off-site.  As such, the workforce funding requirements do not apply to those rate codes and all providers will receive those funds, to the extent they bill and provide off-site services, without regard to opt-out status (see Opt-Out Requirement section below).</w:t>
      </w:r>
    </w:p>
    <w:p w14:paraId="32728AE3" w14:textId="77777777" w:rsidR="00434154" w:rsidRDefault="00434154" w:rsidP="00434154">
      <w:pPr>
        <w:spacing w:after="0"/>
      </w:pPr>
    </w:p>
    <w:p w14:paraId="6F46F8A9" w14:textId="77777777" w:rsidR="00434154" w:rsidRDefault="00434154" w:rsidP="00434154">
      <w:pPr>
        <w:spacing w:after="0"/>
        <w:ind w:firstLine="720"/>
      </w:pPr>
      <w:r w:rsidRPr="00964158">
        <w:rPr>
          <w:noProof/>
        </w:rPr>
        <w:drawing>
          <wp:inline distT="0" distB="0" distL="0" distR="0" wp14:anchorId="17C35353" wp14:editId="3B605CD6">
            <wp:extent cx="4962525" cy="233652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76209" cy="2342965"/>
                    </a:xfrm>
                    <a:prstGeom prst="rect">
                      <a:avLst/>
                    </a:prstGeom>
                    <a:noFill/>
                    <a:ln>
                      <a:noFill/>
                    </a:ln>
                  </pic:spPr>
                </pic:pic>
              </a:graphicData>
            </a:graphic>
          </wp:inline>
        </w:drawing>
      </w:r>
    </w:p>
    <w:p w14:paraId="10BE4F34" w14:textId="77777777" w:rsidR="00434154" w:rsidRDefault="00434154" w:rsidP="00434154">
      <w:pPr>
        <w:spacing w:after="0"/>
      </w:pPr>
    </w:p>
    <w:p w14:paraId="3FC1FEEF" w14:textId="311DFC21" w:rsidR="00DA4202" w:rsidRDefault="00DA4202" w:rsidP="00434154">
      <w:pPr>
        <w:spacing w:after="0"/>
        <w:rPr>
          <w:b/>
          <w:bCs/>
          <w:sz w:val="24"/>
          <w:szCs w:val="24"/>
        </w:rPr>
      </w:pPr>
    </w:p>
    <w:p w14:paraId="665E3FEC" w14:textId="48C73AF1" w:rsidR="00516DA3" w:rsidRDefault="00516DA3" w:rsidP="00434154">
      <w:pPr>
        <w:spacing w:after="0"/>
        <w:rPr>
          <w:b/>
          <w:bCs/>
          <w:sz w:val="24"/>
          <w:szCs w:val="24"/>
        </w:rPr>
      </w:pPr>
    </w:p>
    <w:p w14:paraId="1E2D1335" w14:textId="77777777" w:rsidR="00516DA3" w:rsidRDefault="00516DA3" w:rsidP="00434154">
      <w:pPr>
        <w:spacing w:after="0"/>
        <w:rPr>
          <w:b/>
          <w:bCs/>
          <w:sz w:val="24"/>
          <w:szCs w:val="24"/>
        </w:rPr>
      </w:pPr>
    </w:p>
    <w:p w14:paraId="7E767779" w14:textId="77777777" w:rsidR="00DA4202" w:rsidRDefault="00DA4202" w:rsidP="00434154">
      <w:pPr>
        <w:spacing w:after="0"/>
        <w:rPr>
          <w:b/>
          <w:bCs/>
          <w:sz w:val="24"/>
          <w:szCs w:val="24"/>
        </w:rPr>
      </w:pPr>
    </w:p>
    <w:p w14:paraId="6FF12F44" w14:textId="105DEDBF" w:rsidR="00434154" w:rsidRDefault="00434154" w:rsidP="00434154">
      <w:pPr>
        <w:spacing w:after="0"/>
      </w:pPr>
      <w:r w:rsidRPr="00D46AA8">
        <w:rPr>
          <w:b/>
          <w:bCs/>
          <w:sz w:val="24"/>
          <w:szCs w:val="24"/>
        </w:rPr>
        <w:lastRenderedPageBreak/>
        <w:t>Opt-Out Requirement</w:t>
      </w:r>
    </w:p>
    <w:p w14:paraId="12AF3872" w14:textId="77777777" w:rsidR="00434154" w:rsidRDefault="00434154" w:rsidP="00434154">
      <w:pPr>
        <w:spacing w:after="0"/>
      </w:pPr>
    </w:p>
    <w:p w14:paraId="671520E3" w14:textId="77777777" w:rsidR="00434154" w:rsidRDefault="00434154" w:rsidP="00434154">
      <w:pPr>
        <w:spacing w:after="0"/>
      </w:pPr>
      <w:r>
        <w:t>CMS is requiring providers to submit an “attestation” to OASAS certifying that they understand that:</w:t>
      </w:r>
    </w:p>
    <w:p w14:paraId="309B9C80" w14:textId="77777777" w:rsidR="00434154" w:rsidRDefault="00434154" w:rsidP="00434154">
      <w:pPr>
        <w:pStyle w:val="ListParagraph"/>
        <w:numPr>
          <w:ilvl w:val="0"/>
          <w:numId w:val="4"/>
        </w:numPr>
        <w:spacing w:after="0"/>
      </w:pPr>
      <w:r>
        <w:t>these are time-limited payments which do not extend beyond June 30, 2022,</w:t>
      </w:r>
    </w:p>
    <w:p w14:paraId="5CCFB3E3" w14:textId="77777777" w:rsidR="00434154" w:rsidRDefault="00434154" w:rsidP="00434154">
      <w:pPr>
        <w:pStyle w:val="ListParagraph"/>
        <w:numPr>
          <w:ilvl w:val="0"/>
          <w:numId w:val="4"/>
        </w:numPr>
        <w:spacing w:after="0"/>
      </w:pPr>
      <w:r>
        <w:t>a portion of the funds must be used to address direct-care worker issues (i.e., salary/benefit increases, staff retention bonuses, employer paid training, etc.), and</w:t>
      </w:r>
    </w:p>
    <w:p w14:paraId="2735000E" w14:textId="21D25AEA" w:rsidR="00434154" w:rsidRDefault="00434154" w:rsidP="00434154">
      <w:pPr>
        <w:pStyle w:val="ListParagraph"/>
        <w:numPr>
          <w:ilvl w:val="0"/>
          <w:numId w:val="4"/>
        </w:numPr>
        <w:spacing w:after="0"/>
      </w:pPr>
      <w:r>
        <w:t>funds must be used to expand, enhance, or strengthen their program.</w:t>
      </w:r>
    </w:p>
    <w:p w14:paraId="1DF68386" w14:textId="77777777" w:rsidR="00DA4202" w:rsidRDefault="00DA4202" w:rsidP="00DA4202">
      <w:pPr>
        <w:pStyle w:val="ListParagraph"/>
        <w:spacing w:after="0"/>
      </w:pPr>
    </w:p>
    <w:p w14:paraId="374FE4D7" w14:textId="77777777" w:rsidR="00434154" w:rsidRPr="00697294" w:rsidRDefault="00434154" w:rsidP="00434154">
      <w:pPr>
        <w:spacing w:after="0"/>
        <w:rPr>
          <w:b/>
          <w:bCs/>
        </w:rPr>
      </w:pPr>
      <w:r w:rsidRPr="00697294">
        <w:rPr>
          <w:b/>
          <w:bCs/>
        </w:rPr>
        <w:t xml:space="preserve">In order to simplify this process, in lieu of the attestation, OASAS is using an opt-out </w:t>
      </w:r>
      <w:r>
        <w:rPr>
          <w:b/>
          <w:bCs/>
        </w:rPr>
        <w:t>methodology</w:t>
      </w:r>
      <w:r w:rsidRPr="00697294">
        <w:rPr>
          <w:b/>
          <w:bCs/>
        </w:rPr>
        <w:t xml:space="preserve">.  If you </w:t>
      </w:r>
      <w:r w:rsidRPr="00B73C0C">
        <w:rPr>
          <w:b/>
          <w:bCs/>
          <w:u w:val="single"/>
        </w:rPr>
        <w:t>do not</w:t>
      </w:r>
      <w:r w:rsidRPr="00697294">
        <w:rPr>
          <w:b/>
          <w:bCs/>
        </w:rPr>
        <w:t xml:space="preserve"> wish to receive the fee enhancements associated with the workforce funding you must “opt-out” by Friday, April 1, 2022.</w:t>
      </w:r>
    </w:p>
    <w:p w14:paraId="0F0AD816" w14:textId="77777777" w:rsidR="00434154" w:rsidRDefault="00434154" w:rsidP="00434154">
      <w:pPr>
        <w:spacing w:after="0"/>
      </w:pPr>
    </w:p>
    <w:p w14:paraId="2E107E83" w14:textId="77777777" w:rsidR="00434154" w:rsidRDefault="00434154" w:rsidP="00434154">
      <w:pPr>
        <w:spacing w:after="0"/>
      </w:pPr>
      <w:r w:rsidRPr="00355D74">
        <w:t xml:space="preserve">Note:  These fee enhancements will most likely already have been loaded to eMedNY before April 1, 2022.  Therefore, providers </w:t>
      </w:r>
      <w:r>
        <w:t>may</w:t>
      </w:r>
      <w:r w:rsidRPr="00355D74">
        <w:t xml:space="preserve"> already be in possession of some retroactive portion of the additional funding as of April 1, 2022.  As previously stated, if a provider opts-out of the workforce funding they will also be forgoing the portion of the Part 822 fee enhancement that is not associated with workforce funding.  Providers that opt out will have their Part 822 fees reduced to the pre-enhancement level retroactive to November 1, 2021.  Since the workforce funding does not apply to the </w:t>
      </w:r>
      <w:r>
        <w:t xml:space="preserve">Part 822 </w:t>
      </w:r>
      <w:r w:rsidRPr="00355D74">
        <w:t xml:space="preserve">off-site </w:t>
      </w:r>
      <w:r>
        <w:t>rate</w:t>
      </w:r>
      <w:r w:rsidRPr="00355D74">
        <w:t xml:space="preserve"> code </w:t>
      </w:r>
      <w:r>
        <w:t xml:space="preserve">fee </w:t>
      </w:r>
      <w:r w:rsidRPr="00355D74">
        <w:t xml:space="preserve">enhancements, all providers will receive those </w:t>
      </w:r>
      <w:r>
        <w:t xml:space="preserve">fee </w:t>
      </w:r>
      <w:r w:rsidRPr="00355D74">
        <w:t>enhancements, even if they opt-out of the workforce funding for the a</w:t>
      </w:r>
      <w:r>
        <w:t>pplicable</w:t>
      </w:r>
      <w:r w:rsidRPr="00355D74">
        <w:t xml:space="preserve"> rate codes.</w:t>
      </w:r>
    </w:p>
    <w:p w14:paraId="49D23C1C" w14:textId="77777777" w:rsidR="00434154" w:rsidRDefault="00434154" w:rsidP="00434154">
      <w:pPr>
        <w:spacing w:after="0"/>
      </w:pPr>
    </w:p>
    <w:p w14:paraId="2158D3D1" w14:textId="77777777" w:rsidR="00434154" w:rsidRDefault="00434154" w:rsidP="00434154">
      <w:pPr>
        <w:spacing w:after="0"/>
      </w:pPr>
      <w:r>
        <w:t>If a provider does not opt-out, they are, by default, attesting that they will comply with all the requirements placed on the workforce funding.</w:t>
      </w:r>
    </w:p>
    <w:p w14:paraId="67C2C400" w14:textId="77777777" w:rsidR="00434154" w:rsidRDefault="00434154" w:rsidP="00434154">
      <w:pPr>
        <w:spacing w:after="0"/>
      </w:pPr>
    </w:p>
    <w:p w14:paraId="35E6345A" w14:textId="77777777" w:rsidR="00434154" w:rsidRPr="003F666B" w:rsidRDefault="00434154" w:rsidP="00434154">
      <w:pPr>
        <w:spacing w:after="0"/>
        <w:rPr>
          <w:b/>
          <w:bCs/>
        </w:rPr>
      </w:pPr>
      <w:r w:rsidRPr="003F666B">
        <w:rPr>
          <w:b/>
          <w:bCs/>
        </w:rPr>
        <w:t>Opt-Out Language</w:t>
      </w:r>
    </w:p>
    <w:p w14:paraId="5B73404D" w14:textId="77777777" w:rsidR="00434154" w:rsidRDefault="00434154" w:rsidP="00434154">
      <w:pPr>
        <w:spacing w:after="0"/>
      </w:pPr>
    </w:p>
    <w:p w14:paraId="6F76C17B" w14:textId="77777777" w:rsidR="00434154" w:rsidRDefault="00434154" w:rsidP="00434154">
      <w:pPr>
        <w:spacing w:after="0"/>
      </w:pPr>
      <w:r>
        <w:t xml:space="preserve">To opt-out, email the following statement to: </w:t>
      </w:r>
      <w:hyperlink r:id="rId12" w:history="1">
        <w:r w:rsidRPr="00865D60">
          <w:rPr>
            <w:rStyle w:val="Hyperlink"/>
          </w:rPr>
          <w:t>oasas.sm.healthcarefinancing@oasas.ny.gov</w:t>
        </w:r>
      </w:hyperlink>
    </w:p>
    <w:p w14:paraId="39E98106" w14:textId="77777777" w:rsidR="00434154" w:rsidRDefault="00434154" w:rsidP="00434154">
      <w:pPr>
        <w:spacing w:after="0"/>
      </w:pPr>
    </w:p>
    <w:p w14:paraId="4E07880A" w14:textId="77777777" w:rsidR="00434154" w:rsidRDefault="00434154" w:rsidP="00434154">
      <w:pPr>
        <w:spacing w:after="0"/>
        <w:rPr>
          <w:b/>
          <w:bCs/>
        </w:rPr>
      </w:pPr>
      <w:r>
        <w:t xml:space="preserve">“[Agency Name] has decided that we do not wish to participate in the workforce funding initiative associated with the November 1, </w:t>
      </w:r>
      <w:proofErr w:type="gramStart"/>
      <w:r>
        <w:t>2021</w:t>
      </w:r>
      <w:proofErr w:type="gramEnd"/>
      <w:r>
        <w:t xml:space="preserve"> through June 30, 2022 fee enhancements for freestanding Part [cite 822 and/or 820] addiction services.  We understand that by opting-out we are relinquishing our claim to any portion of the temporary ARPA fee enhancements associated with freestanding Part [cite 820 and/or 822] addiction services.  Please reduce our fees as necessary to recover any associated funding increases.”</w:t>
      </w:r>
    </w:p>
    <w:p w14:paraId="11FABEB4" w14:textId="77777777" w:rsidR="00434154" w:rsidRDefault="00434154" w:rsidP="00434154">
      <w:pPr>
        <w:spacing w:after="0"/>
        <w:rPr>
          <w:b/>
          <w:bCs/>
        </w:rPr>
      </w:pPr>
    </w:p>
    <w:p w14:paraId="5B72B56A" w14:textId="77777777" w:rsidR="00434154" w:rsidRPr="003F666B" w:rsidRDefault="00434154" w:rsidP="00434154">
      <w:pPr>
        <w:spacing w:after="0"/>
        <w:rPr>
          <w:b/>
          <w:bCs/>
        </w:rPr>
      </w:pPr>
      <w:r>
        <w:rPr>
          <w:b/>
          <w:bCs/>
        </w:rPr>
        <w:t>Expenditure Report Requirement</w:t>
      </w:r>
    </w:p>
    <w:p w14:paraId="5AA67BEC" w14:textId="77777777" w:rsidR="00434154" w:rsidRDefault="00434154" w:rsidP="00434154">
      <w:pPr>
        <w:spacing w:after="0"/>
      </w:pPr>
    </w:p>
    <w:p w14:paraId="3FECF376" w14:textId="77777777" w:rsidR="00434154" w:rsidRDefault="00434154" w:rsidP="00434154">
      <w:pPr>
        <w:spacing w:after="0"/>
      </w:pPr>
      <w:r>
        <w:t>By December 31, 2022, providers who did not opt-out will have to document that they expended the workforce funding in a manner that comports with the guidelines found below.  A very simple standardized form will be made available for that purpose in the near future.</w:t>
      </w:r>
    </w:p>
    <w:p w14:paraId="0044D0D6" w14:textId="15206E38" w:rsidR="00434154" w:rsidRDefault="00434154" w:rsidP="00434154">
      <w:pPr>
        <w:spacing w:after="0"/>
      </w:pPr>
    </w:p>
    <w:p w14:paraId="7F6C6F9E" w14:textId="64F1C3C2" w:rsidR="00434154" w:rsidRPr="007754D8" w:rsidRDefault="00434154" w:rsidP="00434154">
      <w:pPr>
        <w:pStyle w:val="Default"/>
        <w:rPr>
          <w:rFonts w:asciiTheme="minorHAnsi" w:hAnsiTheme="minorHAnsi" w:cstheme="minorHAnsi"/>
          <w:b/>
          <w:bCs/>
          <w:sz w:val="25"/>
          <w:szCs w:val="25"/>
        </w:rPr>
      </w:pPr>
      <w:r w:rsidRPr="007754D8">
        <w:rPr>
          <w:rFonts w:asciiTheme="minorHAnsi" w:hAnsiTheme="minorHAnsi" w:cstheme="minorHAnsi"/>
          <w:b/>
          <w:bCs/>
          <w:sz w:val="25"/>
          <w:szCs w:val="25"/>
        </w:rPr>
        <w:t>Guidance on Eligible Workforce Funding Activities (Under Enhanced FMAP Fee Changes)</w:t>
      </w:r>
    </w:p>
    <w:p w14:paraId="7E030312" w14:textId="77777777" w:rsidR="00434154" w:rsidRPr="00D46AA8" w:rsidRDefault="00434154" w:rsidP="00434154">
      <w:pPr>
        <w:pStyle w:val="Default"/>
        <w:rPr>
          <w:rFonts w:asciiTheme="minorHAnsi" w:hAnsiTheme="minorHAnsi" w:cstheme="minorHAnsi"/>
          <w:sz w:val="22"/>
          <w:szCs w:val="22"/>
        </w:rPr>
      </w:pPr>
    </w:p>
    <w:p w14:paraId="5499C159" w14:textId="77777777" w:rsidR="00434154" w:rsidRPr="00D46AA8" w:rsidRDefault="00434154" w:rsidP="00434154">
      <w:pPr>
        <w:pStyle w:val="Default"/>
        <w:rPr>
          <w:rFonts w:asciiTheme="minorHAnsi" w:hAnsiTheme="minorHAnsi" w:cstheme="minorHAnsi"/>
          <w:sz w:val="22"/>
          <w:szCs w:val="22"/>
        </w:rPr>
      </w:pPr>
      <w:r>
        <w:rPr>
          <w:rFonts w:asciiTheme="minorHAnsi" w:hAnsiTheme="minorHAnsi" w:cstheme="minorHAnsi"/>
          <w:sz w:val="22"/>
          <w:szCs w:val="22"/>
        </w:rPr>
        <w:t>E</w:t>
      </w:r>
      <w:r w:rsidRPr="00D46AA8">
        <w:rPr>
          <w:rFonts w:asciiTheme="minorHAnsi" w:hAnsiTheme="minorHAnsi" w:cstheme="minorHAnsi"/>
          <w:sz w:val="22"/>
          <w:szCs w:val="22"/>
        </w:rPr>
        <w:t xml:space="preserve">ligible providers must </w:t>
      </w:r>
      <w:r>
        <w:rPr>
          <w:rFonts w:asciiTheme="minorHAnsi" w:hAnsiTheme="minorHAnsi" w:cstheme="minorHAnsi"/>
          <w:sz w:val="22"/>
          <w:szCs w:val="22"/>
        </w:rPr>
        <w:t>make</w:t>
      </w:r>
      <w:r w:rsidRPr="00D46AA8">
        <w:rPr>
          <w:rFonts w:asciiTheme="minorHAnsi" w:hAnsiTheme="minorHAnsi" w:cstheme="minorHAnsi"/>
          <w:sz w:val="22"/>
          <w:szCs w:val="22"/>
        </w:rPr>
        <w:t xml:space="preserve"> efforts to recruit a workforce that is representative of the people they serve and to develop </w:t>
      </w:r>
      <w:r>
        <w:rPr>
          <w:rFonts w:asciiTheme="minorHAnsi" w:hAnsiTheme="minorHAnsi" w:cstheme="minorHAnsi"/>
          <w:sz w:val="22"/>
          <w:szCs w:val="22"/>
        </w:rPr>
        <w:t xml:space="preserve">the </w:t>
      </w:r>
      <w:r w:rsidRPr="00D46AA8">
        <w:rPr>
          <w:rFonts w:asciiTheme="minorHAnsi" w:hAnsiTheme="minorHAnsi" w:cstheme="minorHAnsi"/>
          <w:sz w:val="22"/>
          <w:szCs w:val="22"/>
        </w:rPr>
        <w:t xml:space="preserve">cultural competency skills </w:t>
      </w:r>
      <w:r>
        <w:rPr>
          <w:rFonts w:asciiTheme="minorHAnsi" w:hAnsiTheme="minorHAnsi" w:cstheme="minorHAnsi"/>
          <w:sz w:val="22"/>
          <w:szCs w:val="22"/>
        </w:rPr>
        <w:t>of</w:t>
      </w:r>
      <w:r w:rsidRPr="00D46AA8">
        <w:rPr>
          <w:rFonts w:asciiTheme="minorHAnsi" w:hAnsiTheme="minorHAnsi" w:cstheme="minorHAnsi"/>
          <w:sz w:val="22"/>
          <w:szCs w:val="22"/>
        </w:rPr>
        <w:t xml:space="preserve"> their current and prospective workforce. </w:t>
      </w:r>
    </w:p>
    <w:p w14:paraId="299B5E42" w14:textId="6D0C9463" w:rsidR="00434154" w:rsidRDefault="00434154" w:rsidP="00434154">
      <w:pPr>
        <w:pStyle w:val="Default"/>
        <w:rPr>
          <w:rFonts w:asciiTheme="minorHAnsi" w:hAnsiTheme="minorHAnsi" w:cstheme="minorHAnsi"/>
          <w:sz w:val="22"/>
          <w:szCs w:val="22"/>
        </w:rPr>
      </w:pPr>
    </w:p>
    <w:p w14:paraId="16A59646" w14:textId="77777777" w:rsidR="00516DA3" w:rsidRPr="00D46AA8" w:rsidRDefault="00516DA3" w:rsidP="00434154">
      <w:pPr>
        <w:pStyle w:val="Default"/>
        <w:rPr>
          <w:rFonts w:asciiTheme="minorHAnsi" w:hAnsiTheme="minorHAnsi" w:cstheme="minorHAnsi"/>
          <w:sz w:val="22"/>
          <w:szCs w:val="22"/>
        </w:rPr>
      </w:pPr>
    </w:p>
    <w:p w14:paraId="487BC52B" w14:textId="77777777" w:rsidR="00434154" w:rsidRPr="00D46AA8" w:rsidRDefault="00434154" w:rsidP="00434154">
      <w:pPr>
        <w:pStyle w:val="Default"/>
        <w:rPr>
          <w:rFonts w:asciiTheme="minorHAnsi" w:hAnsiTheme="minorHAnsi" w:cstheme="minorHAnsi"/>
          <w:sz w:val="22"/>
          <w:szCs w:val="22"/>
        </w:rPr>
      </w:pPr>
      <w:r>
        <w:rPr>
          <w:rFonts w:asciiTheme="minorHAnsi" w:hAnsiTheme="minorHAnsi" w:cstheme="minorHAnsi"/>
          <w:b/>
          <w:bCs/>
          <w:sz w:val="22"/>
          <w:szCs w:val="22"/>
        </w:rPr>
        <w:lastRenderedPageBreak/>
        <w:t>Eligible Activities</w:t>
      </w:r>
    </w:p>
    <w:p w14:paraId="4F47EF7E" w14:textId="77777777" w:rsidR="00434154" w:rsidRPr="00D46AA8" w:rsidRDefault="00434154" w:rsidP="00434154">
      <w:pPr>
        <w:pStyle w:val="Default"/>
        <w:rPr>
          <w:rFonts w:asciiTheme="minorHAnsi" w:hAnsiTheme="minorHAnsi" w:cstheme="minorHAnsi"/>
          <w:sz w:val="22"/>
          <w:szCs w:val="22"/>
        </w:rPr>
      </w:pPr>
    </w:p>
    <w:p w14:paraId="15BB8BB1" w14:textId="77777777" w:rsidR="00434154" w:rsidRDefault="00434154" w:rsidP="00434154">
      <w:pPr>
        <w:pStyle w:val="Default"/>
        <w:rPr>
          <w:rFonts w:asciiTheme="minorHAnsi" w:hAnsiTheme="minorHAnsi" w:cstheme="minorHAnsi"/>
          <w:sz w:val="22"/>
          <w:szCs w:val="22"/>
        </w:rPr>
      </w:pPr>
      <w:r w:rsidRPr="00D46AA8">
        <w:rPr>
          <w:rFonts w:asciiTheme="minorHAnsi" w:hAnsiTheme="minorHAnsi" w:cstheme="minorHAnsi"/>
          <w:sz w:val="22"/>
          <w:szCs w:val="22"/>
        </w:rPr>
        <w:t xml:space="preserve">The following strategies comprise a list of eligible workforce development initiatives permitted for OASAS-certified providers. </w:t>
      </w:r>
      <w:r>
        <w:rPr>
          <w:rFonts w:asciiTheme="minorHAnsi" w:hAnsiTheme="minorHAnsi" w:cstheme="minorHAnsi"/>
          <w:sz w:val="22"/>
          <w:szCs w:val="22"/>
        </w:rPr>
        <w:t xml:space="preserve"> Affected providers</w:t>
      </w:r>
      <w:r w:rsidRPr="00D46AA8">
        <w:rPr>
          <w:rFonts w:asciiTheme="minorHAnsi" w:hAnsiTheme="minorHAnsi" w:cstheme="minorHAnsi"/>
          <w:sz w:val="22"/>
          <w:szCs w:val="22"/>
        </w:rPr>
        <w:t xml:space="preserve"> may choose to offer one or more of the following incentives to recruit and retain employees</w:t>
      </w:r>
      <w:r>
        <w:rPr>
          <w:rFonts w:asciiTheme="minorHAnsi" w:hAnsiTheme="minorHAnsi" w:cstheme="minorHAnsi"/>
          <w:sz w:val="22"/>
          <w:szCs w:val="22"/>
        </w:rPr>
        <w:t xml:space="preserve"> within their Part 822 and/or 820 services</w:t>
      </w:r>
      <w:r w:rsidRPr="00D46AA8">
        <w:rPr>
          <w:rFonts w:asciiTheme="minorHAnsi" w:hAnsiTheme="minorHAnsi" w:cstheme="minorHAnsi"/>
          <w:sz w:val="22"/>
          <w:szCs w:val="22"/>
        </w:rPr>
        <w:t xml:space="preserve">. </w:t>
      </w:r>
      <w:r>
        <w:rPr>
          <w:rFonts w:asciiTheme="minorHAnsi" w:hAnsiTheme="minorHAnsi" w:cstheme="minorHAnsi"/>
          <w:sz w:val="22"/>
          <w:szCs w:val="22"/>
        </w:rPr>
        <w:t xml:space="preserve"> </w:t>
      </w:r>
      <w:r w:rsidRPr="00D46AA8">
        <w:rPr>
          <w:rFonts w:asciiTheme="minorHAnsi" w:hAnsiTheme="minorHAnsi" w:cstheme="minorHAnsi"/>
          <w:sz w:val="22"/>
          <w:szCs w:val="22"/>
        </w:rPr>
        <w:t>These initiatives m</w:t>
      </w:r>
      <w:r>
        <w:rPr>
          <w:rFonts w:asciiTheme="minorHAnsi" w:hAnsiTheme="minorHAnsi" w:cstheme="minorHAnsi"/>
          <w:sz w:val="22"/>
          <w:szCs w:val="22"/>
        </w:rPr>
        <w:t>ust</w:t>
      </w:r>
      <w:r w:rsidRPr="00D46AA8">
        <w:rPr>
          <w:rFonts w:asciiTheme="minorHAnsi" w:hAnsiTheme="minorHAnsi" w:cstheme="minorHAnsi"/>
          <w:sz w:val="22"/>
          <w:szCs w:val="22"/>
        </w:rPr>
        <w:t xml:space="preserve"> be implemented in a manner that meets the needs of each program </w:t>
      </w:r>
      <w:r>
        <w:rPr>
          <w:rFonts w:asciiTheme="minorHAnsi" w:hAnsiTheme="minorHAnsi" w:cstheme="minorHAnsi"/>
          <w:sz w:val="22"/>
          <w:szCs w:val="22"/>
        </w:rPr>
        <w:t>and in accordance with</w:t>
      </w:r>
      <w:r w:rsidRPr="00D46AA8">
        <w:rPr>
          <w:rFonts w:asciiTheme="minorHAnsi" w:hAnsiTheme="minorHAnsi" w:cstheme="minorHAnsi"/>
          <w:sz w:val="22"/>
          <w:szCs w:val="22"/>
        </w:rPr>
        <w:t xml:space="preserve"> the guidelines described </w:t>
      </w:r>
      <w:r>
        <w:rPr>
          <w:rFonts w:asciiTheme="minorHAnsi" w:hAnsiTheme="minorHAnsi" w:cstheme="minorHAnsi"/>
          <w:sz w:val="22"/>
          <w:szCs w:val="22"/>
        </w:rPr>
        <w:t>herein</w:t>
      </w:r>
      <w:r w:rsidRPr="00D46AA8">
        <w:rPr>
          <w:rFonts w:asciiTheme="minorHAnsi" w:hAnsiTheme="minorHAnsi" w:cstheme="minorHAnsi"/>
          <w:sz w:val="22"/>
          <w:szCs w:val="22"/>
        </w:rPr>
        <w:t>.</w:t>
      </w:r>
    </w:p>
    <w:p w14:paraId="56EAD3C0" w14:textId="77777777" w:rsidR="00434154" w:rsidRPr="00D46AA8" w:rsidRDefault="00434154" w:rsidP="00434154">
      <w:pPr>
        <w:pStyle w:val="Default"/>
        <w:rPr>
          <w:rFonts w:asciiTheme="minorHAnsi" w:hAnsiTheme="minorHAnsi" w:cstheme="minorHAnsi"/>
          <w:sz w:val="22"/>
          <w:szCs w:val="22"/>
        </w:rPr>
      </w:pPr>
    </w:p>
    <w:p w14:paraId="09CA4D69" w14:textId="77777777" w:rsidR="00434154" w:rsidRPr="00D46AA8" w:rsidRDefault="00434154" w:rsidP="00434154">
      <w:pPr>
        <w:pStyle w:val="Default"/>
        <w:numPr>
          <w:ilvl w:val="0"/>
          <w:numId w:val="2"/>
        </w:numPr>
        <w:rPr>
          <w:rFonts w:asciiTheme="minorHAnsi" w:hAnsiTheme="minorHAnsi" w:cstheme="minorHAnsi"/>
          <w:color w:val="auto"/>
          <w:sz w:val="22"/>
          <w:szCs w:val="22"/>
        </w:rPr>
      </w:pPr>
      <w:r w:rsidRPr="00D46AA8">
        <w:rPr>
          <w:rFonts w:asciiTheme="minorHAnsi" w:hAnsiTheme="minorHAnsi" w:cstheme="minorHAnsi"/>
          <w:b/>
          <w:bCs/>
          <w:color w:val="auto"/>
          <w:sz w:val="22"/>
          <w:szCs w:val="22"/>
        </w:rPr>
        <w:t>Recruitment and Retention Incentives</w:t>
      </w:r>
    </w:p>
    <w:p w14:paraId="310874C3" w14:textId="77777777" w:rsidR="00434154" w:rsidRPr="00D46AA8" w:rsidRDefault="00434154" w:rsidP="00434154">
      <w:pPr>
        <w:pStyle w:val="Default"/>
        <w:rPr>
          <w:rFonts w:asciiTheme="minorHAnsi" w:hAnsiTheme="minorHAnsi" w:cstheme="minorHAnsi"/>
          <w:color w:val="auto"/>
          <w:sz w:val="22"/>
          <w:szCs w:val="22"/>
        </w:rPr>
      </w:pPr>
    </w:p>
    <w:p w14:paraId="2C74187C" w14:textId="77777777" w:rsidR="00434154" w:rsidRPr="00D46AA8" w:rsidRDefault="00434154" w:rsidP="00434154">
      <w:pPr>
        <w:pStyle w:val="Default"/>
        <w:rPr>
          <w:rFonts w:asciiTheme="minorHAnsi" w:hAnsiTheme="minorHAnsi" w:cstheme="minorHAnsi"/>
          <w:color w:val="auto"/>
          <w:sz w:val="22"/>
          <w:szCs w:val="22"/>
        </w:rPr>
      </w:pPr>
      <w:r w:rsidRPr="00D46AA8">
        <w:rPr>
          <w:rFonts w:asciiTheme="minorHAnsi" w:hAnsiTheme="minorHAnsi" w:cstheme="minorHAnsi"/>
          <w:color w:val="auto"/>
          <w:sz w:val="22"/>
          <w:szCs w:val="22"/>
        </w:rPr>
        <w:t>Funds may be utilized for recruitment and retention bonuses for staff titles as specified by CFR title codes 100 to 5</w:t>
      </w:r>
      <w:r>
        <w:rPr>
          <w:rFonts w:asciiTheme="minorHAnsi" w:hAnsiTheme="minorHAnsi" w:cstheme="minorHAnsi"/>
          <w:color w:val="auto"/>
          <w:sz w:val="22"/>
          <w:szCs w:val="22"/>
        </w:rPr>
        <w:t>99</w:t>
      </w:r>
      <w:r w:rsidRPr="00D46AA8">
        <w:rPr>
          <w:rFonts w:asciiTheme="minorHAnsi" w:hAnsiTheme="minorHAnsi" w:cstheme="minorHAnsi"/>
          <w:color w:val="auto"/>
          <w:sz w:val="22"/>
          <w:szCs w:val="22"/>
        </w:rPr>
        <w:t>. These incentives are limited to:</w:t>
      </w:r>
    </w:p>
    <w:p w14:paraId="7CDC16FF" w14:textId="77777777" w:rsidR="00434154" w:rsidRPr="00D46AA8" w:rsidRDefault="00434154" w:rsidP="00434154">
      <w:pPr>
        <w:pStyle w:val="Default"/>
        <w:rPr>
          <w:rFonts w:asciiTheme="minorHAnsi" w:hAnsiTheme="minorHAnsi" w:cstheme="minorHAnsi"/>
          <w:color w:val="auto"/>
          <w:sz w:val="22"/>
          <w:szCs w:val="22"/>
        </w:rPr>
      </w:pPr>
    </w:p>
    <w:p w14:paraId="226B3F8E" w14:textId="77777777" w:rsidR="00434154" w:rsidRPr="00D46AA8" w:rsidRDefault="00434154" w:rsidP="00434154">
      <w:pPr>
        <w:pStyle w:val="Default"/>
        <w:numPr>
          <w:ilvl w:val="0"/>
          <w:numId w:val="3"/>
        </w:numPr>
        <w:rPr>
          <w:rFonts w:asciiTheme="minorHAnsi" w:hAnsiTheme="minorHAnsi" w:cstheme="minorHAnsi"/>
          <w:color w:val="auto"/>
          <w:sz w:val="22"/>
          <w:szCs w:val="22"/>
        </w:rPr>
      </w:pPr>
      <w:r w:rsidRPr="00D46AA8">
        <w:rPr>
          <w:rFonts w:asciiTheme="minorHAnsi" w:hAnsiTheme="minorHAnsi" w:cstheme="minorHAnsi"/>
          <w:color w:val="auto"/>
          <w:sz w:val="22"/>
          <w:szCs w:val="22"/>
        </w:rPr>
        <w:t>Retention and hiring bonuses, which are limited to no more than 10 percent of an individual’s annual salary, not to exceed $</w:t>
      </w:r>
      <w:r>
        <w:rPr>
          <w:rFonts w:asciiTheme="minorHAnsi" w:hAnsiTheme="minorHAnsi" w:cstheme="minorHAnsi"/>
          <w:color w:val="auto"/>
          <w:sz w:val="22"/>
          <w:szCs w:val="22"/>
        </w:rPr>
        <w:t>8</w:t>
      </w:r>
      <w:r w:rsidRPr="00D46AA8">
        <w:rPr>
          <w:rFonts w:asciiTheme="minorHAnsi" w:hAnsiTheme="minorHAnsi" w:cstheme="minorHAnsi"/>
          <w:color w:val="auto"/>
          <w:sz w:val="22"/>
          <w:szCs w:val="22"/>
        </w:rPr>
        <w:t>,000 per employee. Bonuses may be spread out over time</w:t>
      </w:r>
      <w:r>
        <w:rPr>
          <w:rFonts w:asciiTheme="minorHAnsi" w:hAnsiTheme="minorHAnsi" w:cstheme="minorHAnsi"/>
          <w:color w:val="auto"/>
          <w:sz w:val="22"/>
          <w:szCs w:val="22"/>
        </w:rPr>
        <w:t>, with that period not to exceed two years from April 1, 2022</w:t>
      </w:r>
      <w:r w:rsidRPr="00D46AA8">
        <w:rPr>
          <w:rFonts w:asciiTheme="minorHAnsi" w:hAnsiTheme="minorHAnsi" w:cstheme="minorHAnsi"/>
          <w:color w:val="auto"/>
          <w:sz w:val="22"/>
          <w:szCs w:val="22"/>
        </w:rPr>
        <w:t>.</w:t>
      </w:r>
    </w:p>
    <w:p w14:paraId="0771FB70" w14:textId="77777777" w:rsidR="00434154" w:rsidRPr="00D46AA8" w:rsidRDefault="00434154" w:rsidP="00434154">
      <w:pPr>
        <w:pStyle w:val="Default"/>
        <w:numPr>
          <w:ilvl w:val="0"/>
          <w:numId w:val="3"/>
        </w:numPr>
        <w:rPr>
          <w:rFonts w:asciiTheme="minorHAnsi" w:hAnsiTheme="minorHAnsi" w:cstheme="minorHAnsi"/>
          <w:color w:val="auto"/>
          <w:sz w:val="22"/>
          <w:szCs w:val="22"/>
        </w:rPr>
      </w:pPr>
      <w:r w:rsidRPr="00D46AA8">
        <w:rPr>
          <w:rFonts w:asciiTheme="minorHAnsi" w:hAnsiTheme="minorHAnsi" w:cstheme="minorHAnsi"/>
          <w:color w:val="auto"/>
          <w:sz w:val="22"/>
          <w:szCs w:val="22"/>
        </w:rPr>
        <w:t xml:space="preserve">Longevity </w:t>
      </w:r>
      <w:proofErr w:type="gramStart"/>
      <w:r>
        <w:rPr>
          <w:rFonts w:asciiTheme="minorHAnsi" w:hAnsiTheme="minorHAnsi" w:cstheme="minorHAnsi"/>
          <w:color w:val="auto"/>
          <w:sz w:val="22"/>
          <w:szCs w:val="22"/>
        </w:rPr>
        <w:t>p</w:t>
      </w:r>
      <w:r w:rsidRPr="00D46AA8">
        <w:rPr>
          <w:rFonts w:asciiTheme="minorHAnsi" w:hAnsiTheme="minorHAnsi" w:cstheme="minorHAnsi"/>
          <w:color w:val="auto"/>
          <w:sz w:val="22"/>
          <w:szCs w:val="22"/>
        </w:rPr>
        <w:t>ay</w:t>
      </w:r>
      <w:proofErr w:type="gramEnd"/>
    </w:p>
    <w:p w14:paraId="3AC7AACA" w14:textId="77777777" w:rsidR="00434154" w:rsidRPr="00D46AA8" w:rsidRDefault="00434154" w:rsidP="00434154">
      <w:pPr>
        <w:pStyle w:val="Default"/>
        <w:numPr>
          <w:ilvl w:val="0"/>
          <w:numId w:val="3"/>
        </w:numPr>
        <w:rPr>
          <w:rFonts w:asciiTheme="minorHAnsi" w:hAnsiTheme="minorHAnsi" w:cstheme="minorHAnsi"/>
          <w:color w:val="auto"/>
          <w:sz w:val="22"/>
          <w:szCs w:val="22"/>
        </w:rPr>
      </w:pPr>
      <w:r w:rsidRPr="00D46AA8">
        <w:rPr>
          <w:rFonts w:asciiTheme="minorHAnsi" w:hAnsiTheme="minorHAnsi" w:cstheme="minorHAnsi"/>
          <w:color w:val="auto"/>
          <w:sz w:val="22"/>
          <w:szCs w:val="22"/>
        </w:rPr>
        <w:t xml:space="preserve">Retirement </w:t>
      </w:r>
      <w:r>
        <w:rPr>
          <w:rFonts w:asciiTheme="minorHAnsi" w:hAnsiTheme="minorHAnsi" w:cstheme="minorHAnsi"/>
          <w:color w:val="auto"/>
          <w:sz w:val="22"/>
          <w:szCs w:val="22"/>
        </w:rPr>
        <w:t>c</w:t>
      </w:r>
      <w:r w:rsidRPr="00D46AA8">
        <w:rPr>
          <w:rFonts w:asciiTheme="minorHAnsi" w:hAnsiTheme="minorHAnsi" w:cstheme="minorHAnsi"/>
          <w:color w:val="auto"/>
          <w:sz w:val="22"/>
          <w:szCs w:val="22"/>
        </w:rPr>
        <w:t>ontributions and other one-time fringe benefit payment</w:t>
      </w:r>
      <w:r>
        <w:rPr>
          <w:rFonts w:asciiTheme="minorHAnsi" w:hAnsiTheme="minorHAnsi" w:cstheme="minorHAnsi"/>
          <w:color w:val="auto"/>
          <w:sz w:val="22"/>
          <w:szCs w:val="22"/>
        </w:rPr>
        <w:t>s</w:t>
      </w:r>
    </w:p>
    <w:p w14:paraId="18EFDC94" w14:textId="77777777" w:rsidR="00434154" w:rsidRPr="00D46AA8" w:rsidRDefault="00434154" w:rsidP="00434154">
      <w:pPr>
        <w:pStyle w:val="Default"/>
        <w:numPr>
          <w:ilvl w:val="0"/>
          <w:numId w:val="3"/>
        </w:numPr>
        <w:rPr>
          <w:rFonts w:asciiTheme="minorHAnsi" w:hAnsiTheme="minorHAnsi" w:cstheme="minorHAnsi"/>
          <w:color w:val="auto"/>
          <w:sz w:val="22"/>
          <w:szCs w:val="22"/>
        </w:rPr>
      </w:pPr>
      <w:r w:rsidRPr="00D46AA8">
        <w:rPr>
          <w:rFonts w:asciiTheme="minorHAnsi" w:hAnsiTheme="minorHAnsi" w:cstheme="minorHAnsi"/>
          <w:color w:val="auto"/>
          <w:sz w:val="22"/>
          <w:szCs w:val="22"/>
        </w:rPr>
        <w:t xml:space="preserve">Differential </w:t>
      </w:r>
      <w:r>
        <w:rPr>
          <w:rFonts w:asciiTheme="minorHAnsi" w:hAnsiTheme="minorHAnsi" w:cstheme="minorHAnsi"/>
          <w:color w:val="auto"/>
          <w:sz w:val="22"/>
          <w:szCs w:val="22"/>
        </w:rPr>
        <w:t>p</w:t>
      </w:r>
      <w:r w:rsidRPr="00D46AA8">
        <w:rPr>
          <w:rFonts w:asciiTheme="minorHAnsi" w:hAnsiTheme="minorHAnsi" w:cstheme="minorHAnsi"/>
          <w:color w:val="auto"/>
          <w:sz w:val="22"/>
          <w:szCs w:val="22"/>
        </w:rPr>
        <w:t>ay</w:t>
      </w:r>
    </w:p>
    <w:p w14:paraId="44EDE166" w14:textId="77777777" w:rsidR="00434154" w:rsidRPr="00D46AA8" w:rsidRDefault="00434154" w:rsidP="00434154">
      <w:pPr>
        <w:pStyle w:val="Default"/>
        <w:numPr>
          <w:ilvl w:val="0"/>
          <w:numId w:val="3"/>
        </w:numPr>
        <w:rPr>
          <w:rFonts w:asciiTheme="minorHAnsi" w:hAnsiTheme="minorHAnsi" w:cstheme="minorHAnsi"/>
          <w:color w:val="auto"/>
          <w:sz w:val="22"/>
          <w:szCs w:val="22"/>
        </w:rPr>
      </w:pPr>
      <w:r w:rsidRPr="00D46AA8">
        <w:rPr>
          <w:rFonts w:asciiTheme="minorHAnsi" w:hAnsiTheme="minorHAnsi" w:cstheme="minorHAnsi"/>
          <w:color w:val="auto"/>
          <w:sz w:val="22"/>
          <w:szCs w:val="22"/>
        </w:rPr>
        <w:t xml:space="preserve">Hazard </w:t>
      </w:r>
      <w:proofErr w:type="gramStart"/>
      <w:r>
        <w:rPr>
          <w:rFonts w:asciiTheme="minorHAnsi" w:hAnsiTheme="minorHAnsi" w:cstheme="minorHAnsi"/>
          <w:color w:val="auto"/>
          <w:sz w:val="22"/>
          <w:szCs w:val="22"/>
        </w:rPr>
        <w:t>p</w:t>
      </w:r>
      <w:r w:rsidRPr="00D46AA8">
        <w:rPr>
          <w:rFonts w:asciiTheme="minorHAnsi" w:hAnsiTheme="minorHAnsi" w:cstheme="minorHAnsi"/>
          <w:color w:val="auto"/>
          <w:sz w:val="22"/>
          <w:szCs w:val="22"/>
        </w:rPr>
        <w:t>ay</w:t>
      </w:r>
      <w:proofErr w:type="gramEnd"/>
    </w:p>
    <w:p w14:paraId="74ECD267" w14:textId="77777777" w:rsidR="00434154" w:rsidRPr="00BE23E4" w:rsidRDefault="00434154" w:rsidP="00434154">
      <w:pPr>
        <w:pStyle w:val="Default"/>
        <w:numPr>
          <w:ilvl w:val="0"/>
          <w:numId w:val="3"/>
        </w:numPr>
        <w:spacing w:after="70"/>
        <w:rPr>
          <w:rFonts w:asciiTheme="minorHAnsi" w:hAnsiTheme="minorHAnsi" w:cstheme="minorHAnsi"/>
          <w:color w:val="auto"/>
          <w:sz w:val="22"/>
          <w:szCs w:val="22"/>
        </w:rPr>
      </w:pPr>
      <w:r w:rsidRPr="00D46AA8">
        <w:rPr>
          <w:rFonts w:asciiTheme="minorHAnsi" w:hAnsiTheme="minorHAnsi" w:cstheme="minorHAnsi"/>
          <w:color w:val="auto"/>
          <w:sz w:val="22"/>
          <w:szCs w:val="22"/>
        </w:rPr>
        <w:t>Relocation incentives</w:t>
      </w:r>
    </w:p>
    <w:p w14:paraId="3C50BD24" w14:textId="77777777" w:rsidR="00434154" w:rsidRPr="00D46AA8" w:rsidRDefault="00434154" w:rsidP="00434154">
      <w:pPr>
        <w:pStyle w:val="Default"/>
        <w:rPr>
          <w:rFonts w:asciiTheme="minorHAnsi" w:hAnsiTheme="minorHAnsi" w:cstheme="minorHAnsi"/>
          <w:color w:val="auto"/>
          <w:sz w:val="22"/>
          <w:szCs w:val="22"/>
        </w:rPr>
      </w:pPr>
    </w:p>
    <w:p w14:paraId="0074F482" w14:textId="77777777" w:rsidR="00434154" w:rsidRPr="00D46AA8" w:rsidRDefault="00434154" w:rsidP="00434154">
      <w:pPr>
        <w:pStyle w:val="Default"/>
        <w:rPr>
          <w:rFonts w:asciiTheme="minorHAnsi" w:hAnsiTheme="minorHAnsi" w:cstheme="minorHAnsi"/>
          <w:color w:val="auto"/>
          <w:sz w:val="22"/>
          <w:szCs w:val="22"/>
        </w:rPr>
      </w:pPr>
      <w:r w:rsidRPr="00D46AA8">
        <w:rPr>
          <w:rFonts w:asciiTheme="minorHAnsi" w:hAnsiTheme="minorHAnsi" w:cstheme="minorHAnsi"/>
          <w:b/>
          <w:bCs/>
          <w:color w:val="auto"/>
          <w:sz w:val="22"/>
          <w:szCs w:val="22"/>
        </w:rPr>
        <w:t>Educational Expenses</w:t>
      </w:r>
    </w:p>
    <w:p w14:paraId="21D4DE51" w14:textId="77777777" w:rsidR="00434154" w:rsidRPr="00D46AA8" w:rsidRDefault="00434154" w:rsidP="00434154">
      <w:pPr>
        <w:pStyle w:val="Default"/>
        <w:rPr>
          <w:rFonts w:asciiTheme="minorHAnsi" w:hAnsiTheme="minorHAnsi" w:cstheme="minorHAnsi"/>
          <w:color w:val="auto"/>
          <w:sz w:val="22"/>
          <w:szCs w:val="22"/>
        </w:rPr>
      </w:pPr>
    </w:p>
    <w:p w14:paraId="7E61A104" w14:textId="77777777" w:rsidR="00434154" w:rsidRPr="00D46AA8" w:rsidRDefault="00434154" w:rsidP="00434154">
      <w:pPr>
        <w:pStyle w:val="Default"/>
        <w:rPr>
          <w:rFonts w:asciiTheme="minorHAnsi" w:hAnsiTheme="minorHAnsi" w:cstheme="minorHAnsi"/>
          <w:color w:val="auto"/>
          <w:sz w:val="22"/>
          <w:szCs w:val="22"/>
        </w:rPr>
      </w:pPr>
      <w:r w:rsidRPr="00D46AA8">
        <w:rPr>
          <w:rFonts w:asciiTheme="minorHAnsi" w:hAnsiTheme="minorHAnsi" w:cstheme="minorHAnsi"/>
          <w:color w:val="auto"/>
          <w:sz w:val="22"/>
          <w:szCs w:val="22"/>
        </w:rPr>
        <w:t>Funds may be used for tuition</w:t>
      </w:r>
      <w:r>
        <w:rPr>
          <w:rFonts w:asciiTheme="minorHAnsi" w:hAnsiTheme="minorHAnsi" w:cstheme="minorHAnsi"/>
          <w:color w:val="auto"/>
          <w:sz w:val="22"/>
          <w:szCs w:val="22"/>
        </w:rPr>
        <w:t xml:space="preserve">, </w:t>
      </w:r>
      <w:r w:rsidRPr="00D46AA8">
        <w:rPr>
          <w:rFonts w:asciiTheme="minorHAnsi" w:hAnsiTheme="minorHAnsi" w:cstheme="minorHAnsi"/>
          <w:color w:val="auto"/>
          <w:sz w:val="22"/>
          <w:szCs w:val="22"/>
        </w:rPr>
        <w:t>exam</w:t>
      </w:r>
      <w:r>
        <w:rPr>
          <w:rFonts w:asciiTheme="minorHAnsi" w:hAnsiTheme="minorHAnsi" w:cstheme="minorHAnsi"/>
          <w:color w:val="auto"/>
          <w:sz w:val="22"/>
          <w:szCs w:val="22"/>
        </w:rPr>
        <w:t xml:space="preserve"> fees,</w:t>
      </w:r>
      <w:r w:rsidRPr="00D46AA8">
        <w:rPr>
          <w:rFonts w:asciiTheme="minorHAnsi" w:hAnsiTheme="minorHAnsi" w:cstheme="minorHAnsi"/>
          <w:color w:val="auto"/>
          <w:sz w:val="22"/>
          <w:szCs w:val="22"/>
        </w:rPr>
        <w:t xml:space="preserve"> </w:t>
      </w:r>
      <w:r>
        <w:rPr>
          <w:rFonts w:asciiTheme="minorHAnsi" w:hAnsiTheme="minorHAnsi" w:cstheme="minorHAnsi"/>
          <w:color w:val="auto"/>
          <w:sz w:val="22"/>
          <w:szCs w:val="22"/>
        </w:rPr>
        <w:t>and registration/</w:t>
      </w:r>
      <w:r w:rsidRPr="00D46AA8">
        <w:rPr>
          <w:rFonts w:asciiTheme="minorHAnsi" w:hAnsiTheme="minorHAnsi" w:cstheme="minorHAnsi"/>
          <w:color w:val="auto"/>
          <w:sz w:val="22"/>
          <w:szCs w:val="22"/>
        </w:rPr>
        <w:t>application fees for new or existing staff, as long such expenses are directly related to job requirement</w:t>
      </w:r>
      <w:r>
        <w:rPr>
          <w:rFonts w:asciiTheme="minorHAnsi" w:hAnsiTheme="minorHAnsi" w:cstheme="minorHAnsi"/>
          <w:color w:val="auto"/>
          <w:sz w:val="22"/>
          <w:szCs w:val="22"/>
        </w:rPr>
        <w:t>s</w:t>
      </w:r>
      <w:r w:rsidRPr="00D46AA8">
        <w:rPr>
          <w:rFonts w:asciiTheme="minorHAnsi" w:hAnsiTheme="minorHAnsi" w:cstheme="minorHAnsi"/>
          <w:color w:val="auto"/>
          <w:sz w:val="22"/>
          <w:szCs w:val="22"/>
        </w:rPr>
        <w:t xml:space="preserve"> or career advancement, including courses related to cultural competency and diversity trainings. </w:t>
      </w:r>
      <w:r>
        <w:rPr>
          <w:rFonts w:asciiTheme="minorHAnsi" w:hAnsiTheme="minorHAnsi" w:cstheme="minorHAnsi"/>
          <w:color w:val="auto"/>
          <w:sz w:val="22"/>
          <w:szCs w:val="22"/>
        </w:rPr>
        <w:t xml:space="preserve"> </w:t>
      </w:r>
      <w:r w:rsidRPr="00D46AA8">
        <w:rPr>
          <w:rFonts w:asciiTheme="minorHAnsi" w:hAnsiTheme="minorHAnsi" w:cstheme="minorHAnsi"/>
          <w:color w:val="auto"/>
          <w:sz w:val="22"/>
          <w:szCs w:val="22"/>
        </w:rPr>
        <w:t>Funds may also be used for professional development college level courses, and other professional trainings</w:t>
      </w:r>
      <w:r>
        <w:rPr>
          <w:rFonts w:asciiTheme="minorHAnsi" w:hAnsiTheme="minorHAnsi" w:cstheme="minorHAnsi"/>
          <w:color w:val="auto"/>
          <w:sz w:val="22"/>
          <w:szCs w:val="22"/>
        </w:rPr>
        <w:t>,</w:t>
      </w:r>
      <w:r w:rsidRPr="00D46AA8">
        <w:rPr>
          <w:rFonts w:asciiTheme="minorHAnsi" w:hAnsiTheme="minorHAnsi" w:cstheme="minorHAnsi"/>
          <w:color w:val="auto"/>
          <w:sz w:val="22"/>
          <w:szCs w:val="22"/>
        </w:rPr>
        <w:t xml:space="preserve"> including continuing education courses.</w:t>
      </w:r>
      <w:r>
        <w:rPr>
          <w:rFonts w:asciiTheme="minorHAnsi" w:hAnsiTheme="minorHAnsi" w:cstheme="minorHAnsi"/>
          <w:color w:val="auto"/>
          <w:sz w:val="22"/>
          <w:szCs w:val="22"/>
        </w:rPr>
        <w:t xml:space="preserve">  No individual shall receive more than $6,000 towards educational expenses.</w:t>
      </w:r>
    </w:p>
    <w:p w14:paraId="026B08C3" w14:textId="77777777" w:rsidR="00434154" w:rsidRPr="00D46AA8" w:rsidRDefault="00434154" w:rsidP="00434154">
      <w:pPr>
        <w:pStyle w:val="Default"/>
        <w:rPr>
          <w:rFonts w:asciiTheme="minorHAnsi" w:hAnsiTheme="minorHAnsi" w:cstheme="minorHAnsi"/>
          <w:color w:val="auto"/>
          <w:sz w:val="22"/>
          <w:szCs w:val="22"/>
        </w:rPr>
      </w:pPr>
    </w:p>
    <w:p w14:paraId="5F3BC4BB" w14:textId="77777777" w:rsidR="00434154" w:rsidRPr="00D46AA8" w:rsidRDefault="00434154" w:rsidP="00434154">
      <w:pPr>
        <w:pStyle w:val="Default"/>
        <w:rPr>
          <w:rFonts w:asciiTheme="minorHAnsi" w:hAnsiTheme="minorHAnsi" w:cstheme="minorHAnsi"/>
          <w:color w:val="auto"/>
          <w:sz w:val="22"/>
          <w:szCs w:val="22"/>
        </w:rPr>
      </w:pPr>
      <w:r w:rsidRPr="00D46AA8">
        <w:rPr>
          <w:rFonts w:asciiTheme="minorHAnsi" w:hAnsiTheme="minorHAnsi" w:cstheme="minorHAnsi"/>
          <w:b/>
          <w:bCs/>
          <w:color w:val="auto"/>
          <w:sz w:val="22"/>
          <w:szCs w:val="22"/>
        </w:rPr>
        <w:t>Career Development and Support</w:t>
      </w:r>
    </w:p>
    <w:p w14:paraId="12F71401" w14:textId="77777777" w:rsidR="00434154" w:rsidRPr="00D46AA8" w:rsidRDefault="00434154" w:rsidP="00434154">
      <w:pPr>
        <w:pStyle w:val="Default"/>
        <w:rPr>
          <w:rFonts w:asciiTheme="minorHAnsi" w:hAnsiTheme="minorHAnsi" w:cstheme="minorHAnsi"/>
          <w:color w:val="auto"/>
          <w:sz w:val="22"/>
          <w:szCs w:val="22"/>
        </w:rPr>
      </w:pPr>
    </w:p>
    <w:p w14:paraId="2BC71B38" w14:textId="77777777" w:rsidR="00434154" w:rsidRPr="00D46AA8" w:rsidRDefault="00434154" w:rsidP="00434154">
      <w:pPr>
        <w:pStyle w:val="Default"/>
        <w:rPr>
          <w:rFonts w:asciiTheme="minorHAnsi" w:hAnsiTheme="minorHAnsi" w:cstheme="minorHAnsi"/>
          <w:color w:val="auto"/>
          <w:sz w:val="22"/>
          <w:szCs w:val="22"/>
        </w:rPr>
      </w:pPr>
      <w:r w:rsidRPr="00D46AA8">
        <w:rPr>
          <w:rFonts w:asciiTheme="minorHAnsi" w:hAnsiTheme="minorHAnsi" w:cstheme="minorHAnsi"/>
          <w:color w:val="auto"/>
          <w:sz w:val="22"/>
          <w:szCs w:val="22"/>
        </w:rPr>
        <w:t>Funds may be used for the creation, promotion, or enhancement of internship</w:t>
      </w:r>
      <w:r>
        <w:rPr>
          <w:rFonts w:asciiTheme="minorHAnsi" w:hAnsiTheme="minorHAnsi" w:cstheme="minorHAnsi"/>
          <w:color w:val="auto"/>
          <w:sz w:val="22"/>
          <w:szCs w:val="22"/>
        </w:rPr>
        <w:t>s</w:t>
      </w:r>
      <w:r w:rsidRPr="00D46AA8">
        <w:rPr>
          <w:rFonts w:asciiTheme="minorHAnsi" w:hAnsiTheme="minorHAnsi" w:cstheme="minorHAnsi"/>
          <w:color w:val="auto"/>
          <w:sz w:val="22"/>
          <w:szCs w:val="22"/>
        </w:rPr>
        <w:t>, fellowship</w:t>
      </w:r>
      <w:r>
        <w:rPr>
          <w:rFonts w:asciiTheme="minorHAnsi" w:hAnsiTheme="minorHAnsi" w:cstheme="minorHAnsi"/>
          <w:color w:val="auto"/>
          <w:sz w:val="22"/>
          <w:szCs w:val="22"/>
        </w:rPr>
        <w:t>s</w:t>
      </w:r>
      <w:r w:rsidRPr="00D46AA8">
        <w:rPr>
          <w:rFonts w:asciiTheme="minorHAnsi" w:hAnsiTheme="minorHAnsi" w:cstheme="minorHAnsi"/>
          <w:color w:val="auto"/>
          <w:sz w:val="22"/>
          <w:szCs w:val="22"/>
        </w:rPr>
        <w:t xml:space="preserve">, or other career development programs. </w:t>
      </w:r>
      <w:r>
        <w:rPr>
          <w:rFonts w:asciiTheme="minorHAnsi" w:hAnsiTheme="minorHAnsi" w:cstheme="minorHAnsi"/>
          <w:color w:val="auto"/>
          <w:sz w:val="22"/>
          <w:szCs w:val="22"/>
        </w:rPr>
        <w:t xml:space="preserve"> </w:t>
      </w:r>
      <w:r w:rsidRPr="00D46AA8">
        <w:rPr>
          <w:rFonts w:asciiTheme="minorHAnsi" w:hAnsiTheme="minorHAnsi" w:cstheme="minorHAnsi"/>
          <w:color w:val="auto"/>
          <w:sz w:val="22"/>
          <w:szCs w:val="22"/>
        </w:rPr>
        <w:t xml:space="preserve">Providers may collaborate with academic and policy institutions to develop strategies for training staff based on needs assessments and </w:t>
      </w:r>
      <w:r>
        <w:rPr>
          <w:rFonts w:asciiTheme="minorHAnsi" w:hAnsiTheme="minorHAnsi" w:cstheme="minorHAnsi"/>
          <w:color w:val="auto"/>
          <w:sz w:val="22"/>
          <w:szCs w:val="22"/>
        </w:rPr>
        <w:t>employee</w:t>
      </w:r>
      <w:r w:rsidRPr="00D46AA8">
        <w:rPr>
          <w:rFonts w:asciiTheme="minorHAnsi" w:hAnsiTheme="minorHAnsi" w:cstheme="minorHAnsi"/>
          <w:color w:val="auto"/>
          <w:sz w:val="22"/>
          <w:szCs w:val="22"/>
        </w:rPr>
        <w:t xml:space="preserve"> interest</w:t>
      </w:r>
    </w:p>
    <w:p w14:paraId="106BF74F" w14:textId="6AD29EF6" w:rsidR="00434154" w:rsidRDefault="00434154" w:rsidP="00434154">
      <w:pPr>
        <w:pStyle w:val="Default"/>
        <w:rPr>
          <w:rFonts w:asciiTheme="minorHAnsi" w:hAnsiTheme="minorHAnsi" w:cstheme="minorHAnsi"/>
          <w:color w:val="auto"/>
          <w:sz w:val="22"/>
          <w:szCs w:val="22"/>
        </w:rPr>
      </w:pPr>
    </w:p>
    <w:p w14:paraId="18FB3B83" w14:textId="77777777" w:rsidR="00434154" w:rsidRPr="00D46AA8" w:rsidRDefault="00434154" w:rsidP="00434154">
      <w:pPr>
        <w:pStyle w:val="Default"/>
        <w:rPr>
          <w:rFonts w:asciiTheme="minorHAnsi" w:hAnsiTheme="minorHAnsi" w:cstheme="minorHAnsi"/>
          <w:b/>
          <w:bCs/>
          <w:color w:val="auto"/>
          <w:sz w:val="22"/>
          <w:szCs w:val="22"/>
        </w:rPr>
      </w:pPr>
      <w:r>
        <w:rPr>
          <w:rFonts w:asciiTheme="minorHAnsi" w:hAnsiTheme="minorHAnsi" w:cstheme="minorHAnsi"/>
          <w:b/>
          <w:bCs/>
          <w:color w:val="auto"/>
          <w:sz w:val="22"/>
          <w:szCs w:val="22"/>
        </w:rPr>
        <w:t>Record Keeping Requirements</w:t>
      </w:r>
    </w:p>
    <w:p w14:paraId="7926D1B3" w14:textId="77777777" w:rsidR="00434154" w:rsidRDefault="00434154" w:rsidP="00434154">
      <w:pPr>
        <w:pStyle w:val="Default"/>
        <w:rPr>
          <w:rFonts w:asciiTheme="minorHAnsi" w:hAnsiTheme="minorHAnsi" w:cstheme="minorHAnsi"/>
          <w:b/>
          <w:bCs/>
          <w:color w:val="auto"/>
          <w:sz w:val="22"/>
          <w:szCs w:val="22"/>
        </w:rPr>
      </w:pPr>
    </w:p>
    <w:p w14:paraId="6147BA4F" w14:textId="77777777" w:rsidR="00434154" w:rsidRPr="00FD1CAF" w:rsidRDefault="00434154" w:rsidP="00434154">
      <w:pPr>
        <w:pStyle w:val="Default"/>
        <w:rPr>
          <w:rFonts w:asciiTheme="minorHAnsi" w:hAnsiTheme="minorHAnsi" w:cstheme="minorHAnsi"/>
          <w:color w:val="auto"/>
          <w:sz w:val="22"/>
          <w:szCs w:val="22"/>
        </w:rPr>
      </w:pPr>
      <w:r>
        <w:rPr>
          <w:rFonts w:asciiTheme="minorHAnsi" w:hAnsiTheme="minorHAnsi" w:cstheme="minorHAnsi"/>
          <w:color w:val="auto"/>
          <w:sz w:val="22"/>
          <w:szCs w:val="22"/>
        </w:rPr>
        <w:t>W</w:t>
      </w:r>
      <w:r w:rsidRPr="00FD1CAF">
        <w:rPr>
          <w:rFonts w:asciiTheme="minorHAnsi" w:hAnsiTheme="minorHAnsi" w:cstheme="minorHAnsi"/>
          <w:color w:val="auto"/>
          <w:sz w:val="22"/>
          <w:szCs w:val="22"/>
        </w:rPr>
        <w:t>orkforce funds are subject to audit</w:t>
      </w:r>
      <w:r>
        <w:rPr>
          <w:rFonts w:asciiTheme="minorHAnsi" w:hAnsiTheme="minorHAnsi" w:cstheme="minorHAnsi"/>
          <w:color w:val="auto"/>
          <w:sz w:val="22"/>
          <w:szCs w:val="22"/>
        </w:rPr>
        <w:t xml:space="preserve"> to ensure full compliance with all requirements in this document.  </w:t>
      </w:r>
      <w:r>
        <w:t>Providers must keep all the records necessary to allow that audit to occur.  Providers that fail to keep those records are potentially subject to a full disallowance upon audit.</w:t>
      </w:r>
    </w:p>
    <w:p w14:paraId="114CBB09" w14:textId="77777777" w:rsidR="00434154" w:rsidRPr="00DC57A5" w:rsidRDefault="00434154" w:rsidP="00DC57A5"/>
    <w:sectPr w:rsidR="00434154" w:rsidRPr="00DC57A5" w:rsidSect="00516DA3">
      <w:headerReference w:type="even" r:id="rId13"/>
      <w:headerReference w:type="default" r:id="rId14"/>
      <w:footerReference w:type="default" r:id="rId15"/>
      <w:headerReference w:type="first" r:id="rId16"/>
      <w:footerReference w:type="first" r:id="rId17"/>
      <w:type w:val="continuous"/>
      <w:pgSz w:w="12240" w:h="15840"/>
      <w:pgMar w:top="198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5F33E" w14:textId="77777777" w:rsidR="00F37025" w:rsidRDefault="00F37025" w:rsidP="003F4256">
      <w:pPr>
        <w:spacing w:after="0" w:line="240" w:lineRule="auto"/>
      </w:pPr>
      <w:r>
        <w:separator/>
      </w:r>
    </w:p>
  </w:endnote>
  <w:endnote w:type="continuationSeparator" w:id="0">
    <w:p w14:paraId="6E99C6D9" w14:textId="77777777" w:rsidR="00F37025" w:rsidRDefault="00F37025" w:rsidP="003F4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Rg">
    <w:altName w:val="Tahoma"/>
    <w:panose1 w:val="00000000000000000000"/>
    <w:charset w:val="00"/>
    <w:family w:val="modern"/>
    <w:notTrueType/>
    <w:pitch w:val="variable"/>
    <w:sig w:usb0="A00002EF"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9DDDA" w14:textId="77777777" w:rsidR="00625D68" w:rsidRPr="0013194C" w:rsidRDefault="002054F9" w:rsidP="00625D68">
    <w:pPr>
      <w:pStyle w:val="Footer"/>
      <w:jc w:val="center"/>
      <w:rPr>
        <w:rFonts w:ascii="Proxima Nova Rg" w:hAnsi="Proxima Nova Rg"/>
        <w:color w:val="523178"/>
        <w:spacing w:val="20"/>
        <w:kern w:val="32"/>
        <w:sz w:val="20"/>
        <w:szCs w:val="20"/>
      </w:rPr>
    </w:pPr>
    <w:r>
      <w:rPr>
        <w:rFonts w:ascii="Proxima Nova Rg" w:hAnsi="Proxima Nova Rg"/>
        <w:color w:val="523178"/>
        <w:spacing w:val="20"/>
        <w:kern w:val="32"/>
        <w:sz w:val="20"/>
        <w:szCs w:val="20"/>
      </w:rPr>
      <w:t xml:space="preserve"> </w:t>
    </w:r>
    <w:r w:rsidR="00625D68" w:rsidRPr="0013194C">
      <w:rPr>
        <w:rFonts w:ascii="Proxima Nova Rg" w:hAnsi="Proxima Nova Rg"/>
        <w:color w:val="523178"/>
        <w:spacing w:val="20"/>
        <w:kern w:val="32"/>
        <w:sz w:val="20"/>
        <w:szCs w:val="20"/>
      </w:rPr>
      <w:t>501 7</w:t>
    </w:r>
    <w:r w:rsidR="00625D68" w:rsidRPr="0013194C">
      <w:rPr>
        <w:rFonts w:ascii="Proxima Nova Rg" w:hAnsi="Proxima Nova Rg"/>
        <w:color w:val="523178"/>
        <w:spacing w:val="20"/>
        <w:kern w:val="32"/>
        <w:sz w:val="20"/>
        <w:szCs w:val="20"/>
        <w:vertAlign w:val="superscript"/>
      </w:rPr>
      <w:t>th</w:t>
    </w:r>
    <w:r w:rsidR="00625D68" w:rsidRPr="0013194C">
      <w:rPr>
        <w:rFonts w:ascii="Proxima Nova Rg" w:hAnsi="Proxima Nova Rg"/>
        <w:color w:val="523178"/>
        <w:spacing w:val="20"/>
        <w:kern w:val="32"/>
        <w:sz w:val="20"/>
        <w:szCs w:val="20"/>
      </w:rPr>
      <w:t xml:space="preserve"> Avenue | New York, New York 10018-5903 | </w:t>
    </w:r>
    <w:hyperlink r:id="rId1" w:history="1">
      <w:r w:rsidR="00625D68" w:rsidRPr="0013194C">
        <w:rPr>
          <w:rStyle w:val="Hyperlink"/>
          <w:rFonts w:ascii="Proxima Nova Rg" w:hAnsi="Proxima Nova Rg"/>
          <w:color w:val="523178"/>
          <w:spacing w:val="20"/>
          <w:kern w:val="32"/>
          <w:sz w:val="20"/>
          <w:szCs w:val="20"/>
        </w:rPr>
        <w:t>oasas.ny.gov</w:t>
      </w:r>
    </w:hyperlink>
    <w:r w:rsidR="00625D68">
      <w:rPr>
        <w:rFonts w:ascii="Proxima Nova Rg" w:hAnsi="Proxima Nova Rg"/>
        <w:color w:val="523178"/>
        <w:spacing w:val="20"/>
        <w:kern w:val="32"/>
        <w:sz w:val="20"/>
        <w:szCs w:val="20"/>
      </w:rPr>
      <w:t xml:space="preserve"> | 646-728-476</w:t>
    </w:r>
    <w:r w:rsidR="00625D68" w:rsidRPr="0013194C">
      <w:rPr>
        <w:rFonts w:ascii="Proxima Nova Rg" w:hAnsi="Proxima Nova Rg"/>
        <w:color w:val="523178"/>
        <w:spacing w:val="20"/>
        <w:kern w:val="32"/>
        <w:sz w:val="20"/>
        <w:szCs w:val="20"/>
      </w:rPr>
      <w:t>0</w:t>
    </w:r>
  </w:p>
  <w:p w14:paraId="30A0C558" w14:textId="77777777" w:rsidR="00625D68" w:rsidRPr="0013194C" w:rsidRDefault="00625D68" w:rsidP="00625D68">
    <w:pPr>
      <w:pStyle w:val="Footer"/>
      <w:jc w:val="center"/>
      <w:rPr>
        <w:rFonts w:ascii="Proxima Nova Rg" w:hAnsi="Proxima Nova Rg"/>
        <w:color w:val="523178"/>
        <w:spacing w:val="20"/>
        <w:kern w:val="32"/>
        <w:sz w:val="20"/>
        <w:szCs w:val="20"/>
      </w:rPr>
    </w:pPr>
  </w:p>
  <w:p w14:paraId="22BF8FF2" w14:textId="4E1708EF" w:rsidR="00625D68" w:rsidRDefault="00625D68" w:rsidP="00625D68">
    <w:pPr>
      <w:pStyle w:val="Footer"/>
      <w:jc w:val="center"/>
      <w:rPr>
        <w:rFonts w:ascii="Proxima Nova Rg" w:hAnsi="Proxima Nova Rg"/>
        <w:color w:val="523178"/>
        <w:spacing w:val="20"/>
        <w:kern w:val="32"/>
        <w:sz w:val="20"/>
        <w:szCs w:val="20"/>
      </w:rPr>
    </w:pPr>
    <w:r w:rsidRPr="0013194C">
      <w:rPr>
        <w:rFonts w:ascii="Proxima Nova Rg" w:hAnsi="Proxima Nova Rg"/>
        <w:color w:val="523178"/>
        <w:spacing w:val="20"/>
        <w:kern w:val="32"/>
        <w:sz w:val="20"/>
        <w:szCs w:val="20"/>
      </w:rPr>
      <w:t xml:space="preserve">1450 Western Avenue | Albany, New York 12203-3526 | </w:t>
    </w:r>
    <w:hyperlink r:id="rId2" w:history="1">
      <w:r w:rsidRPr="0013194C">
        <w:rPr>
          <w:rStyle w:val="Hyperlink"/>
          <w:rFonts w:ascii="Proxima Nova Rg" w:hAnsi="Proxima Nova Rg"/>
          <w:color w:val="523178"/>
          <w:spacing w:val="20"/>
          <w:kern w:val="32"/>
          <w:sz w:val="20"/>
          <w:szCs w:val="20"/>
        </w:rPr>
        <w:t>oasas.ny.gov</w:t>
      </w:r>
    </w:hyperlink>
    <w:r w:rsidRPr="0013194C">
      <w:rPr>
        <w:rFonts w:ascii="Proxima Nova Rg" w:hAnsi="Proxima Nova Rg"/>
        <w:color w:val="523178"/>
        <w:spacing w:val="20"/>
        <w:kern w:val="32"/>
        <w:sz w:val="20"/>
        <w:szCs w:val="20"/>
      </w:rPr>
      <w:t xml:space="preserve"> | 518-473-3460</w:t>
    </w:r>
  </w:p>
  <w:p w14:paraId="64BE8912" w14:textId="77777777" w:rsidR="00E72D1F" w:rsidRPr="0013194C" w:rsidRDefault="00E72D1F" w:rsidP="00625D68">
    <w:pPr>
      <w:pStyle w:val="Footer"/>
      <w:jc w:val="center"/>
      <w:rPr>
        <w:rFonts w:ascii="Proxima Nova Rg" w:hAnsi="Proxima Nova Rg"/>
        <w:color w:val="523178"/>
        <w:spacing w:val="20"/>
        <w:kern w:val="32"/>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AAB40" w14:textId="77777777" w:rsidR="00236258" w:rsidRPr="0013194C" w:rsidRDefault="00CA0505" w:rsidP="00236258">
    <w:pPr>
      <w:pStyle w:val="Footer"/>
      <w:jc w:val="center"/>
      <w:rPr>
        <w:rFonts w:ascii="Proxima Nova Rg" w:hAnsi="Proxima Nova Rg"/>
        <w:color w:val="523178"/>
        <w:spacing w:val="20"/>
        <w:kern w:val="32"/>
        <w:sz w:val="20"/>
        <w:szCs w:val="20"/>
      </w:rPr>
    </w:pPr>
    <w:r>
      <w:rPr>
        <w:rFonts w:ascii="Proxima Nova Rg" w:hAnsi="Proxima Nova Rg"/>
        <w:color w:val="523178"/>
        <w:spacing w:val="20"/>
        <w:kern w:val="32"/>
        <w:sz w:val="20"/>
        <w:szCs w:val="20"/>
      </w:rPr>
      <w:br/>
    </w:r>
    <w:r w:rsidR="00236258" w:rsidRPr="0013194C">
      <w:rPr>
        <w:rFonts w:ascii="Proxima Nova Rg" w:hAnsi="Proxima Nova Rg"/>
        <w:color w:val="523178"/>
        <w:spacing w:val="20"/>
        <w:kern w:val="32"/>
        <w:sz w:val="20"/>
        <w:szCs w:val="20"/>
      </w:rPr>
      <w:t>501 7</w:t>
    </w:r>
    <w:r w:rsidR="00236258" w:rsidRPr="0013194C">
      <w:rPr>
        <w:rFonts w:ascii="Proxima Nova Rg" w:hAnsi="Proxima Nova Rg"/>
        <w:color w:val="523178"/>
        <w:spacing w:val="20"/>
        <w:kern w:val="32"/>
        <w:sz w:val="20"/>
        <w:szCs w:val="20"/>
        <w:vertAlign w:val="superscript"/>
      </w:rPr>
      <w:t>th</w:t>
    </w:r>
    <w:r w:rsidR="00236258" w:rsidRPr="0013194C">
      <w:rPr>
        <w:rFonts w:ascii="Proxima Nova Rg" w:hAnsi="Proxima Nova Rg"/>
        <w:color w:val="523178"/>
        <w:spacing w:val="20"/>
        <w:kern w:val="32"/>
        <w:sz w:val="20"/>
        <w:szCs w:val="20"/>
      </w:rPr>
      <w:t xml:space="preserve"> Avenue | New York, New York 10018-5903 | </w:t>
    </w:r>
    <w:hyperlink r:id="rId1" w:history="1">
      <w:r w:rsidR="00236258" w:rsidRPr="0013194C">
        <w:rPr>
          <w:rStyle w:val="Hyperlink"/>
          <w:rFonts w:ascii="Proxima Nova Rg" w:hAnsi="Proxima Nova Rg"/>
          <w:color w:val="523178"/>
          <w:spacing w:val="20"/>
          <w:kern w:val="32"/>
          <w:sz w:val="20"/>
          <w:szCs w:val="20"/>
        </w:rPr>
        <w:t>oasas.ny.gov</w:t>
      </w:r>
    </w:hyperlink>
    <w:r w:rsidR="00236258">
      <w:rPr>
        <w:rFonts w:ascii="Proxima Nova Rg" w:hAnsi="Proxima Nova Rg"/>
        <w:color w:val="523178"/>
        <w:spacing w:val="20"/>
        <w:kern w:val="32"/>
        <w:sz w:val="20"/>
        <w:szCs w:val="20"/>
      </w:rPr>
      <w:t xml:space="preserve"> | 646-728-476</w:t>
    </w:r>
    <w:r w:rsidR="00236258" w:rsidRPr="0013194C">
      <w:rPr>
        <w:rFonts w:ascii="Proxima Nova Rg" w:hAnsi="Proxima Nova Rg"/>
        <w:color w:val="523178"/>
        <w:spacing w:val="20"/>
        <w:kern w:val="32"/>
        <w:sz w:val="20"/>
        <w:szCs w:val="20"/>
      </w:rPr>
      <w:t>0</w:t>
    </w:r>
  </w:p>
  <w:p w14:paraId="6958824D" w14:textId="77777777" w:rsidR="00236258" w:rsidRPr="0013194C" w:rsidRDefault="00236258" w:rsidP="00236258">
    <w:pPr>
      <w:pStyle w:val="Footer"/>
      <w:jc w:val="center"/>
      <w:rPr>
        <w:rFonts w:ascii="Proxima Nova Rg" w:hAnsi="Proxima Nova Rg"/>
        <w:color w:val="523178"/>
        <w:spacing w:val="20"/>
        <w:kern w:val="32"/>
        <w:sz w:val="20"/>
        <w:szCs w:val="20"/>
      </w:rPr>
    </w:pPr>
  </w:p>
  <w:p w14:paraId="038BABD4" w14:textId="77777777" w:rsidR="00236258" w:rsidRPr="0013194C" w:rsidRDefault="00236258" w:rsidP="00236258">
    <w:pPr>
      <w:pStyle w:val="Footer"/>
      <w:jc w:val="center"/>
      <w:rPr>
        <w:rFonts w:ascii="Proxima Nova Rg" w:hAnsi="Proxima Nova Rg"/>
        <w:color w:val="523178"/>
        <w:spacing w:val="20"/>
        <w:kern w:val="32"/>
        <w:sz w:val="20"/>
        <w:szCs w:val="20"/>
      </w:rPr>
    </w:pPr>
    <w:r w:rsidRPr="0013194C">
      <w:rPr>
        <w:rFonts w:ascii="Proxima Nova Rg" w:hAnsi="Proxima Nova Rg"/>
        <w:color w:val="523178"/>
        <w:spacing w:val="20"/>
        <w:kern w:val="32"/>
        <w:sz w:val="20"/>
        <w:szCs w:val="20"/>
      </w:rPr>
      <w:t xml:space="preserve">1450 Western Avenue | Albany, New York 12203-3526 | </w:t>
    </w:r>
    <w:hyperlink r:id="rId2" w:history="1">
      <w:r w:rsidRPr="0013194C">
        <w:rPr>
          <w:rStyle w:val="Hyperlink"/>
          <w:rFonts w:ascii="Proxima Nova Rg" w:hAnsi="Proxima Nova Rg"/>
          <w:color w:val="523178"/>
          <w:spacing w:val="20"/>
          <w:kern w:val="32"/>
          <w:sz w:val="20"/>
          <w:szCs w:val="20"/>
        </w:rPr>
        <w:t>oasas.ny.gov</w:t>
      </w:r>
    </w:hyperlink>
    <w:r w:rsidRPr="0013194C">
      <w:rPr>
        <w:rFonts w:ascii="Proxima Nova Rg" w:hAnsi="Proxima Nova Rg"/>
        <w:color w:val="523178"/>
        <w:spacing w:val="20"/>
        <w:kern w:val="32"/>
        <w:sz w:val="20"/>
        <w:szCs w:val="20"/>
      </w:rPr>
      <w:t xml:space="preserve"> | 518-473-3460</w:t>
    </w:r>
  </w:p>
  <w:p w14:paraId="204B8E0D" w14:textId="77777777" w:rsidR="00095899" w:rsidRPr="00421B53" w:rsidRDefault="00095899" w:rsidP="00236258">
    <w:pPr>
      <w:pStyle w:val="Footer"/>
      <w:jc w:val="center"/>
      <w:rPr>
        <w:rFonts w:ascii="Arial" w:hAnsi="Arial" w:cs="Arial"/>
        <w:b/>
        <w:i/>
        <w:iCs/>
        <w:color w:val="523178"/>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C59EB" w14:textId="77777777" w:rsidR="00F37025" w:rsidRDefault="00F37025" w:rsidP="003F4256">
      <w:pPr>
        <w:spacing w:after="0" w:line="240" w:lineRule="auto"/>
      </w:pPr>
      <w:r>
        <w:separator/>
      </w:r>
    </w:p>
  </w:footnote>
  <w:footnote w:type="continuationSeparator" w:id="0">
    <w:p w14:paraId="665A1A77" w14:textId="77777777" w:rsidR="00F37025" w:rsidRDefault="00F37025" w:rsidP="003F4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6210"/>
      <w:gridCol w:w="4680"/>
    </w:tblGrid>
    <w:tr w:rsidR="00985778" w14:paraId="74DD61B7" w14:textId="77777777" w:rsidTr="00C053BC">
      <w:trPr>
        <w:trHeight w:val="540"/>
      </w:trPr>
      <w:tc>
        <w:tcPr>
          <w:tcW w:w="6210" w:type="dxa"/>
          <w:vMerge w:val="restart"/>
        </w:tcPr>
        <w:p w14:paraId="19463EBF" w14:textId="77777777" w:rsidR="00985778" w:rsidRDefault="00985778" w:rsidP="00985778">
          <w:pPr>
            <w:pStyle w:val="Header"/>
            <w:jc w:val="center"/>
          </w:pPr>
          <w:r>
            <w:rPr>
              <w:noProof/>
            </w:rPr>
            <w:drawing>
              <wp:anchor distT="0" distB="0" distL="114300" distR="114300" simplePos="0" relativeHeight="251661312" behindDoc="1" locked="0" layoutInCell="1" allowOverlap="1" wp14:anchorId="70845D5A" wp14:editId="20FE380A">
                <wp:simplePos x="0" y="0"/>
                <wp:positionH relativeFrom="column">
                  <wp:posOffset>635</wp:posOffset>
                </wp:positionH>
                <wp:positionV relativeFrom="paragraph">
                  <wp:posOffset>0</wp:posOffset>
                </wp:positionV>
                <wp:extent cx="3397515" cy="566927"/>
                <wp:effectExtent l="0" t="0" r="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vil Service Commision_gray.png"/>
                        <pic:cNvPicPr/>
                      </pic:nvPicPr>
                      <pic:blipFill>
                        <a:blip r:embed="rId1">
                          <a:extLst>
                            <a:ext uri="{28A0092B-C50C-407E-A947-70E740481C1C}">
                              <a14:useLocalDpi xmlns:a14="http://schemas.microsoft.com/office/drawing/2010/main" val="0"/>
                            </a:ext>
                          </a:extLst>
                        </a:blip>
                        <a:stretch>
                          <a:fillRect/>
                        </a:stretch>
                      </pic:blipFill>
                      <pic:spPr>
                        <a:xfrm>
                          <a:off x="0" y="0"/>
                          <a:ext cx="3397515" cy="566927"/>
                        </a:xfrm>
                        <a:prstGeom prst="rect">
                          <a:avLst/>
                        </a:prstGeom>
                      </pic:spPr>
                    </pic:pic>
                  </a:graphicData>
                </a:graphic>
                <wp14:sizeRelH relativeFrom="margin">
                  <wp14:pctWidth>0</wp14:pctWidth>
                </wp14:sizeRelH>
                <wp14:sizeRelV relativeFrom="margin">
                  <wp14:pctHeight>0</wp14:pctHeight>
                </wp14:sizeRelV>
              </wp:anchor>
            </w:drawing>
          </w:r>
        </w:p>
      </w:tc>
      <w:tc>
        <w:tcPr>
          <w:tcW w:w="4680" w:type="dxa"/>
        </w:tcPr>
        <w:p w14:paraId="36E1EFF1" w14:textId="77777777" w:rsidR="00985778" w:rsidRPr="00965634" w:rsidRDefault="00985778" w:rsidP="00985778">
          <w:pPr>
            <w:pStyle w:val="Header"/>
            <w:jc w:val="right"/>
            <w:rPr>
              <w:rFonts w:ascii="Arial" w:hAnsi="Arial" w:cs="Arial"/>
              <w:b/>
              <w:color w:val="7F7F7F" w:themeColor="text1" w:themeTint="80"/>
              <w:sz w:val="18"/>
              <w:szCs w:val="18"/>
            </w:rPr>
          </w:pPr>
          <w:r>
            <w:rPr>
              <w:rFonts w:ascii="Arial" w:hAnsi="Arial" w:cs="Arial"/>
              <w:b/>
              <w:color w:val="7F7F7F" w:themeColor="text1" w:themeTint="80"/>
              <w:sz w:val="18"/>
              <w:szCs w:val="18"/>
            </w:rPr>
            <w:t>KATHY HOCHUL</w:t>
          </w:r>
        </w:p>
        <w:p w14:paraId="14BEC021" w14:textId="77777777" w:rsidR="00985778" w:rsidRPr="00095899" w:rsidRDefault="00985778" w:rsidP="00985778">
          <w:pPr>
            <w:pStyle w:val="Header"/>
            <w:jc w:val="right"/>
            <w:rPr>
              <w:rFonts w:ascii="Arial" w:hAnsi="Arial" w:cs="Arial"/>
              <w:sz w:val="18"/>
              <w:szCs w:val="18"/>
            </w:rPr>
          </w:pPr>
          <w:r w:rsidRPr="00095899">
            <w:rPr>
              <w:rFonts w:ascii="Arial" w:hAnsi="Arial" w:cs="Arial"/>
              <w:color w:val="7F7F7F" w:themeColor="text1" w:themeTint="80"/>
              <w:sz w:val="18"/>
              <w:szCs w:val="18"/>
            </w:rPr>
            <w:t>Governor</w:t>
          </w:r>
        </w:p>
      </w:tc>
    </w:tr>
    <w:tr w:rsidR="00985778" w14:paraId="63DFD545" w14:textId="77777777" w:rsidTr="00C053BC">
      <w:trPr>
        <w:trHeight w:val="540"/>
      </w:trPr>
      <w:tc>
        <w:tcPr>
          <w:tcW w:w="6210" w:type="dxa"/>
          <w:vMerge/>
        </w:tcPr>
        <w:p w14:paraId="6BFA9E5E" w14:textId="77777777" w:rsidR="00985778" w:rsidRDefault="00985778" w:rsidP="00985778">
          <w:pPr>
            <w:pStyle w:val="Header"/>
            <w:rPr>
              <w:noProof/>
            </w:rPr>
          </w:pPr>
        </w:p>
      </w:tc>
      <w:tc>
        <w:tcPr>
          <w:tcW w:w="4680" w:type="dxa"/>
        </w:tcPr>
        <w:p w14:paraId="089A63C7" w14:textId="77777777" w:rsidR="00985778" w:rsidRPr="00557BCC" w:rsidRDefault="00985778" w:rsidP="00985778">
          <w:pPr>
            <w:spacing w:before="100" w:beforeAutospacing="1"/>
            <w:jc w:val="right"/>
            <w:outlineLvl w:val="2"/>
            <w:rPr>
              <w:rFonts w:ascii="Arial" w:eastAsia="Times New Roman" w:hAnsi="Arial" w:cs="Arial"/>
              <w:b/>
              <w:bCs/>
              <w:color w:val="7F7F7F" w:themeColor="text1" w:themeTint="80"/>
              <w:sz w:val="20"/>
              <w:szCs w:val="20"/>
            </w:rPr>
          </w:pPr>
          <w:r>
            <w:rPr>
              <w:rFonts w:ascii="Arial" w:hAnsi="Arial" w:cs="Arial"/>
              <w:b/>
              <w:color w:val="7F7F7F" w:themeColor="text1" w:themeTint="80"/>
              <w:sz w:val="18"/>
              <w:szCs w:val="18"/>
            </w:rPr>
            <w:t xml:space="preserve">                                          </w:t>
          </w:r>
          <w:r w:rsidRPr="00E37263">
            <w:rPr>
              <w:rFonts w:ascii="Arial" w:hAnsi="Arial" w:cs="Arial"/>
              <w:b/>
              <w:color w:val="7F7F7F" w:themeColor="text1" w:themeTint="80"/>
              <w:sz w:val="18"/>
              <w:szCs w:val="18"/>
            </w:rPr>
            <w:t>CHINAZO CUNNINGHA</w:t>
          </w:r>
          <w:r>
            <w:rPr>
              <w:rFonts w:ascii="Arial" w:hAnsi="Arial" w:cs="Arial"/>
              <w:b/>
              <w:color w:val="7F7F7F" w:themeColor="text1" w:themeTint="80"/>
              <w:sz w:val="18"/>
              <w:szCs w:val="18"/>
            </w:rPr>
            <w:t>M</w:t>
          </w:r>
          <w:r w:rsidRPr="00E37263">
            <w:rPr>
              <w:rFonts w:ascii="Arial" w:hAnsi="Arial" w:cs="Arial"/>
              <w:b/>
              <w:color w:val="7F7F7F" w:themeColor="text1" w:themeTint="80"/>
              <w:sz w:val="18"/>
              <w:szCs w:val="18"/>
            </w:rPr>
            <w:t>, MD</w:t>
          </w:r>
          <w:r>
            <w:rPr>
              <w:rFonts w:ascii="Arial" w:hAnsi="Arial" w:cs="Arial"/>
              <w:b/>
              <w:color w:val="7F7F7F" w:themeColor="text1" w:themeTint="80"/>
              <w:sz w:val="18"/>
              <w:szCs w:val="18"/>
            </w:rPr>
            <w:br/>
            <w:t xml:space="preserve">                                                                     </w:t>
          </w:r>
          <w:r w:rsidRPr="00E37263">
            <w:rPr>
              <w:rFonts w:ascii="Arial" w:hAnsi="Arial" w:cs="Arial"/>
              <w:color w:val="7F7F7F" w:themeColor="text1" w:themeTint="80"/>
              <w:sz w:val="18"/>
              <w:szCs w:val="18"/>
            </w:rPr>
            <w:t>Commission</w:t>
          </w:r>
          <w:r>
            <w:rPr>
              <w:rFonts w:ascii="Arial" w:hAnsi="Arial" w:cs="Arial"/>
              <w:color w:val="7F7F7F" w:themeColor="text1" w:themeTint="80"/>
              <w:sz w:val="18"/>
              <w:szCs w:val="18"/>
            </w:rPr>
            <w:t>er</w:t>
          </w:r>
        </w:p>
        <w:p w14:paraId="25F284DD" w14:textId="77777777" w:rsidR="00985778" w:rsidRDefault="00985778" w:rsidP="00985778">
          <w:pPr>
            <w:pStyle w:val="Header"/>
            <w:jc w:val="right"/>
          </w:pPr>
        </w:p>
      </w:tc>
    </w:tr>
  </w:tbl>
  <w:p w14:paraId="14B75F05" w14:textId="77777777" w:rsidR="00985778" w:rsidRDefault="009857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6210"/>
      <w:gridCol w:w="4680"/>
    </w:tblGrid>
    <w:tr w:rsidR="00985778" w14:paraId="2304DA4D" w14:textId="77777777" w:rsidTr="00C053BC">
      <w:trPr>
        <w:trHeight w:val="540"/>
      </w:trPr>
      <w:tc>
        <w:tcPr>
          <w:tcW w:w="6210" w:type="dxa"/>
          <w:vMerge w:val="restart"/>
        </w:tcPr>
        <w:p w14:paraId="00B9275E" w14:textId="77777777" w:rsidR="00985778" w:rsidRDefault="00985778" w:rsidP="00985778">
          <w:pPr>
            <w:pStyle w:val="Header"/>
            <w:jc w:val="center"/>
          </w:pPr>
          <w:r>
            <w:rPr>
              <w:noProof/>
            </w:rPr>
            <w:drawing>
              <wp:anchor distT="0" distB="0" distL="114300" distR="114300" simplePos="0" relativeHeight="251663360" behindDoc="1" locked="0" layoutInCell="1" allowOverlap="1" wp14:anchorId="77712C62" wp14:editId="4BC0AE34">
                <wp:simplePos x="0" y="0"/>
                <wp:positionH relativeFrom="column">
                  <wp:posOffset>635</wp:posOffset>
                </wp:positionH>
                <wp:positionV relativeFrom="paragraph">
                  <wp:posOffset>0</wp:posOffset>
                </wp:positionV>
                <wp:extent cx="3397515" cy="566927"/>
                <wp:effectExtent l="0" t="0" r="0" b="508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vil Service Commision_gray.png"/>
                        <pic:cNvPicPr/>
                      </pic:nvPicPr>
                      <pic:blipFill>
                        <a:blip r:embed="rId1">
                          <a:extLst>
                            <a:ext uri="{28A0092B-C50C-407E-A947-70E740481C1C}">
                              <a14:useLocalDpi xmlns:a14="http://schemas.microsoft.com/office/drawing/2010/main" val="0"/>
                            </a:ext>
                          </a:extLst>
                        </a:blip>
                        <a:stretch>
                          <a:fillRect/>
                        </a:stretch>
                      </pic:blipFill>
                      <pic:spPr>
                        <a:xfrm>
                          <a:off x="0" y="0"/>
                          <a:ext cx="3397515" cy="566927"/>
                        </a:xfrm>
                        <a:prstGeom prst="rect">
                          <a:avLst/>
                        </a:prstGeom>
                      </pic:spPr>
                    </pic:pic>
                  </a:graphicData>
                </a:graphic>
                <wp14:sizeRelH relativeFrom="margin">
                  <wp14:pctWidth>0</wp14:pctWidth>
                </wp14:sizeRelH>
                <wp14:sizeRelV relativeFrom="margin">
                  <wp14:pctHeight>0</wp14:pctHeight>
                </wp14:sizeRelV>
              </wp:anchor>
            </w:drawing>
          </w:r>
        </w:p>
      </w:tc>
      <w:tc>
        <w:tcPr>
          <w:tcW w:w="4680" w:type="dxa"/>
        </w:tcPr>
        <w:p w14:paraId="5A27E6B0" w14:textId="77777777" w:rsidR="00985778" w:rsidRPr="00965634" w:rsidRDefault="00985778" w:rsidP="00985778">
          <w:pPr>
            <w:pStyle w:val="Header"/>
            <w:jc w:val="right"/>
            <w:rPr>
              <w:rFonts w:ascii="Arial" w:hAnsi="Arial" w:cs="Arial"/>
              <w:b/>
              <w:color w:val="7F7F7F" w:themeColor="text1" w:themeTint="80"/>
              <w:sz w:val="18"/>
              <w:szCs w:val="18"/>
            </w:rPr>
          </w:pPr>
          <w:r>
            <w:rPr>
              <w:rFonts w:ascii="Arial" w:hAnsi="Arial" w:cs="Arial"/>
              <w:b/>
              <w:color w:val="7F7F7F" w:themeColor="text1" w:themeTint="80"/>
              <w:sz w:val="18"/>
              <w:szCs w:val="18"/>
            </w:rPr>
            <w:t>KATHY HOCHUL</w:t>
          </w:r>
        </w:p>
        <w:p w14:paraId="47C9C7DA" w14:textId="77777777" w:rsidR="00985778" w:rsidRPr="00095899" w:rsidRDefault="00985778" w:rsidP="00985778">
          <w:pPr>
            <w:pStyle w:val="Header"/>
            <w:jc w:val="right"/>
            <w:rPr>
              <w:rFonts w:ascii="Arial" w:hAnsi="Arial" w:cs="Arial"/>
              <w:sz w:val="18"/>
              <w:szCs w:val="18"/>
            </w:rPr>
          </w:pPr>
          <w:r w:rsidRPr="00095899">
            <w:rPr>
              <w:rFonts w:ascii="Arial" w:hAnsi="Arial" w:cs="Arial"/>
              <w:color w:val="7F7F7F" w:themeColor="text1" w:themeTint="80"/>
              <w:sz w:val="18"/>
              <w:szCs w:val="18"/>
            </w:rPr>
            <w:t>Governor</w:t>
          </w:r>
        </w:p>
      </w:tc>
    </w:tr>
    <w:tr w:rsidR="00985778" w14:paraId="10A9069A" w14:textId="77777777" w:rsidTr="00C053BC">
      <w:trPr>
        <w:trHeight w:val="540"/>
      </w:trPr>
      <w:tc>
        <w:tcPr>
          <w:tcW w:w="6210" w:type="dxa"/>
          <w:vMerge/>
        </w:tcPr>
        <w:p w14:paraId="0C37893A" w14:textId="77777777" w:rsidR="00985778" w:rsidRDefault="00985778" w:rsidP="00985778">
          <w:pPr>
            <w:pStyle w:val="Header"/>
            <w:rPr>
              <w:noProof/>
            </w:rPr>
          </w:pPr>
        </w:p>
      </w:tc>
      <w:tc>
        <w:tcPr>
          <w:tcW w:w="4680" w:type="dxa"/>
        </w:tcPr>
        <w:p w14:paraId="499833F6" w14:textId="77777777" w:rsidR="00985778" w:rsidRPr="00557BCC" w:rsidRDefault="00985778" w:rsidP="00985778">
          <w:pPr>
            <w:spacing w:before="100" w:beforeAutospacing="1"/>
            <w:jc w:val="right"/>
            <w:outlineLvl w:val="2"/>
            <w:rPr>
              <w:rFonts w:ascii="Arial" w:eastAsia="Times New Roman" w:hAnsi="Arial" w:cs="Arial"/>
              <w:b/>
              <w:bCs/>
              <w:color w:val="7F7F7F" w:themeColor="text1" w:themeTint="80"/>
              <w:sz w:val="20"/>
              <w:szCs w:val="20"/>
            </w:rPr>
          </w:pPr>
          <w:r>
            <w:rPr>
              <w:rFonts w:ascii="Arial" w:hAnsi="Arial" w:cs="Arial"/>
              <w:b/>
              <w:color w:val="7F7F7F" w:themeColor="text1" w:themeTint="80"/>
              <w:sz w:val="18"/>
              <w:szCs w:val="18"/>
            </w:rPr>
            <w:t xml:space="preserve">                                          </w:t>
          </w:r>
          <w:r w:rsidRPr="00E37263">
            <w:rPr>
              <w:rFonts w:ascii="Arial" w:hAnsi="Arial" w:cs="Arial"/>
              <w:b/>
              <w:color w:val="7F7F7F" w:themeColor="text1" w:themeTint="80"/>
              <w:sz w:val="18"/>
              <w:szCs w:val="18"/>
            </w:rPr>
            <w:t>CHINAZO CUNNINGHA</w:t>
          </w:r>
          <w:r>
            <w:rPr>
              <w:rFonts w:ascii="Arial" w:hAnsi="Arial" w:cs="Arial"/>
              <w:b/>
              <w:color w:val="7F7F7F" w:themeColor="text1" w:themeTint="80"/>
              <w:sz w:val="18"/>
              <w:szCs w:val="18"/>
            </w:rPr>
            <w:t>M</w:t>
          </w:r>
          <w:r w:rsidRPr="00E37263">
            <w:rPr>
              <w:rFonts w:ascii="Arial" w:hAnsi="Arial" w:cs="Arial"/>
              <w:b/>
              <w:color w:val="7F7F7F" w:themeColor="text1" w:themeTint="80"/>
              <w:sz w:val="18"/>
              <w:szCs w:val="18"/>
            </w:rPr>
            <w:t>, MD</w:t>
          </w:r>
          <w:r>
            <w:rPr>
              <w:rFonts w:ascii="Arial" w:hAnsi="Arial" w:cs="Arial"/>
              <w:b/>
              <w:color w:val="7F7F7F" w:themeColor="text1" w:themeTint="80"/>
              <w:sz w:val="18"/>
              <w:szCs w:val="18"/>
            </w:rPr>
            <w:br/>
            <w:t xml:space="preserve">                                                                     </w:t>
          </w:r>
          <w:r w:rsidRPr="00E37263">
            <w:rPr>
              <w:rFonts w:ascii="Arial" w:hAnsi="Arial" w:cs="Arial"/>
              <w:color w:val="7F7F7F" w:themeColor="text1" w:themeTint="80"/>
              <w:sz w:val="18"/>
              <w:szCs w:val="18"/>
            </w:rPr>
            <w:t>Commission</w:t>
          </w:r>
          <w:r>
            <w:rPr>
              <w:rFonts w:ascii="Arial" w:hAnsi="Arial" w:cs="Arial"/>
              <w:color w:val="7F7F7F" w:themeColor="text1" w:themeTint="80"/>
              <w:sz w:val="18"/>
              <w:szCs w:val="18"/>
            </w:rPr>
            <w:t>er</w:t>
          </w:r>
        </w:p>
        <w:p w14:paraId="6F0E3F8D" w14:textId="77777777" w:rsidR="00985778" w:rsidRDefault="00985778" w:rsidP="00985778">
          <w:pPr>
            <w:pStyle w:val="Header"/>
            <w:jc w:val="right"/>
          </w:pPr>
        </w:p>
      </w:tc>
    </w:tr>
  </w:tbl>
  <w:p w14:paraId="76CA0EA7" w14:textId="77777777" w:rsidR="00985778" w:rsidRDefault="009857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6210"/>
      <w:gridCol w:w="4680"/>
    </w:tblGrid>
    <w:tr w:rsidR="00095899" w14:paraId="691B8023" w14:textId="77777777" w:rsidTr="000070B1">
      <w:trPr>
        <w:trHeight w:val="540"/>
      </w:trPr>
      <w:tc>
        <w:tcPr>
          <w:tcW w:w="6210" w:type="dxa"/>
          <w:vMerge w:val="restart"/>
        </w:tcPr>
        <w:p w14:paraId="23408C3E" w14:textId="77777777" w:rsidR="00095899" w:rsidRDefault="00FA79EB" w:rsidP="00832C03">
          <w:pPr>
            <w:pStyle w:val="Header"/>
            <w:jc w:val="center"/>
          </w:pPr>
          <w:r>
            <w:rPr>
              <w:noProof/>
            </w:rPr>
            <w:drawing>
              <wp:anchor distT="0" distB="0" distL="114300" distR="114300" simplePos="0" relativeHeight="251659264" behindDoc="1" locked="0" layoutInCell="1" allowOverlap="1" wp14:anchorId="2B4C2784" wp14:editId="2394AE13">
                <wp:simplePos x="0" y="0"/>
                <wp:positionH relativeFrom="column">
                  <wp:posOffset>635</wp:posOffset>
                </wp:positionH>
                <wp:positionV relativeFrom="paragraph">
                  <wp:posOffset>0</wp:posOffset>
                </wp:positionV>
                <wp:extent cx="3397515" cy="566927"/>
                <wp:effectExtent l="0" t="0" r="0" b="508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vil Service Commision_gray.png"/>
                        <pic:cNvPicPr/>
                      </pic:nvPicPr>
                      <pic:blipFill>
                        <a:blip r:embed="rId1">
                          <a:extLst>
                            <a:ext uri="{28A0092B-C50C-407E-A947-70E740481C1C}">
                              <a14:useLocalDpi xmlns:a14="http://schemas.microsoft.com/office/drawing/2010/main" val="0"/>
                            </a:ext>
                          </a:extLst>
                        </a:blip>
                        <a:stretch>
                          <a:fillRect/>
                        </a:stretch>
                      </pic:blipFill>
                      <pic:spPr>
                        <a:xfrm>
                          <a:off x="0" y="0"/>
                          <a:ext cx="3397515" cy="566927"/>
                        </a:xfrm>
                        <a:prstGeom prst="rect">
                          <a:avLst/>
                        </a:prstGeom>
                      </pic:spPr>
                    </pic:pic>
                  </a:graphicData>
                </a:graphic>
                <wp14:sizeRelH relativeFrom="margin">
                  <wp14:pctWidth>0</wp14:pctWidth>
                </wp14:sizeRelH>
                <wp14:sizeRelV relativeFrom="margin">
                  <wp14:pctHeight>0</wp14:pctHeight>
                </wp14:sizeRelV>
              </wp:anchor>
            </w:drawing>
          </w:r>
        </w:p>
      </w:tc>
      <w:tc>
        <w:tcPr>
          <w:tcW w:w="4680" w:type="dxa"/>
        </w:tcPr>
        <w:p w14:paraId="7E50FE30" w14:textId="77777777" w:rsidR="006F768D" w:rsidRPr="00965634" w:rsidRDefault="006F768D" w:rsidP="006F768D">
          <w:pPr>
            <w:pStyle w:val="Header"/>
            <w:jc w:val="right"/>
            <w:rPr>
              <w:rFonts w:ascii="Arial" w:hAnsi="Arial" w:cs="Arial"/>
              <w:b/>
              <w:color w:val="7F7F7F" w:themeColor="text1" w:themeTint="80"/>
              <w:sz w:val="18"/>
              <w:szCs w:val="18"/>
            </w:rPr>
          </w:pPr>
          <w:r>
            <w:rPr>
              <w:rFonts w:ascii="Arial" w:hAnsi="Arial" w:cs="Arial"/>
              <w:b/>
              <w:color w:val="7F7F7F" w:themeColor="text1" w:themeTint="80"/>
              <w:sz w:val="18"/>
              <w:szCs w:val="18"/>
            </w:rPr>
            <w:t>KATHY HOCHUL</w:t>
          </w:r>
        </w:p>
        <w:p w14:paraId="04346536" w14:textId="77777777" w:rsidR="00095899" w:rsidRPr="00095899" w:rsidRDefault="00095899" w:rsidP="00095899">
          <w:pPr>
            <w:pStyle w:val="Header"/>
            <w:jc w:val="right"/>
            <w:rPr>
              <w:rFonts w:ascii="Arial" w:hAnsi="Arial" w:cs="Arial"/>
              <w:sz w:val="18"/>
              <w:szCs w:val="18"/>
            </w:rPr>
          </w:pPr>
          <w:r w:rsidRPr="00095899">
            <w:rPr>
              <w:rFonts w:ascii="Arial" w:hAnsi="Arial" w:cs="Arial"/>
              <w:color w:val="7F7F7F" w:themeColor="text1" w:themeTint="80"/>
              <w:sz w:val="18"/>
              <w:szCs w:val="18"/>
            </w:rPr>
            <w:t>Governor</w:t>
          </w:r>
        </w:p>
      </w:tc>
    </w:tr>
    <w:tr w:rsidR="00095899" w14:paraId="339FB45E" w14:textId="77777777" w:rsidTr="000070B1">
      <w:trPr>
        <w:trHeight w:val="540"/>
      </w:trPr>
      <w:tc>
        <w:tcPr>
          <w:tcW w:w="6210" w:type="dxa"/>
          <w:vMerge/>
        </w:tcPr>
        <w:p w14:paraId="5F0FAF68" w14:textId="77777777" w:rsidR="00095899" w:rsidRDefault="00095899" w:rsidP="00095899">
          <w:pPr>
            <w:pStyle w:val="Header"/>
            <w:rPr>
              <w:noProof/>
            </w:rPr>
          </w:pPr>
        </w:p>
      </w:tc>
      <w:tc>
        <w:tcPr>
          <w:tcW w:w="4680" w:type="dxa"/>
        </w:tcPr>
        <w:p w14:paraId="77C909CF" w14:textId="6579A457" w:rsidR="00095899" w:rsidRPr="00557BCC" w:rsidRDefault="00F03B0B" w:rsidP="00095899">
          <w:pPr>
            <w:spacing w:before="100" w:beforeAutospacing="1"/>
            <w:jc w:val="right"/>
            <w:outlineLvl w:val="2"/>
            <w:rPr>
              <w:rFonts w:ascii="Arial" w:eastAsia="Times New Roman" w:hAnsi="Arial" w:cs="Arial"/>
              <w:b/>
              <w:bCs/>
              <w:color w:val="7F7F7F" w:themeColor="text1" w:themeTint="80"/>
              <w:sz w:val="20"/>
              <w:szCs w:val="20"/>
            </w:rPr>
          </w:pPr>
          <w:r>
            <w:rPr>
              <w:rFonts w:ascii="Arial" w:hAnsi="Arial" w:cs="Arial"/>
              <w:b/>
              <w:color w:val="7F7F7F" w:themeColor="text1" w:themeTint="80"/>
              <w:sz w:val="18"/>
              <w:szCs w:val="18"/>
            </w:rPr>
            <w:t xml:space="preserve">                                          </w:t>
          </w:r>
          <w:r w:rsidRPr="00E37263">
            <w:rPr>
              <w:rFonts w:ascii="Arial" w:hAnsi="Arial" w:cs="Arial"/>
              <w:b/>
              <w:color w:val="7F7F7F" w:themeColor="text1" w:themeTint="80"/>
              <w:sz w:val="18"/>
              <w:szCs w:val="18"/>
            </w:rPr>
            <w:t>CHINAZO CUNNINGHA</w:t>
          </w:r>
          <w:r>
            <w:rPr>
              <w:rFonts w:ascii="Arial" w:hAnsi="Arial" w:cs="Arial"/>
              <w:b/>
              <w:color w:val="7F7F7F" w:themeColor="text1" w:themeTint="80"/>
              <w:sz w:val="18"/>
              <w:szCs w:val="18"/>
            </w:rPr>
            <w:t>M</w:t>
          </w:r>
          <w:r w:rsidRPr="00E37263">
            <w:rPr>
              <w:rFonts w:ascii="Arial" w:hAnsi="Arial" w:cs="Arial"/>
              <w:b/>
              <w:color w:val="7F7F7F" w:themeColor="text1" w:themeTint="80"/>
              <w:sz w:val="18"/>
              <w:szCs w:val="18"/>
            </w:rPr>
            <w:t>, MD</w:t>
          </w:r>
          <w:r>
            <w:rPr>
              <w:rFonts w:ascii="Arial" w:hAnsi="Arial" w:cs="Arial"/>
              <w:b/>
              <w:color w:val="7F7F7F" w:themeColor="text1" w:themeTint="80"/>
              <w:sz w:val="18"/>
              <w:szCs w:val="18"/>
            </w:rPr>
            <w:br/>
            <w:t xml:space="preserve">                                                                     </w:t>
          </w:r>
          <w:r w:rsidRPr="00E37263">
            <w:rPr>
              <w:rFonts w:ascii="Arial" w:hAnsi="Arial" w:cs="Arial"/>
              <w:color w:val="7F7F7F" w:themeColor="text1" w:themeTint="80"/>
              <w:sz w:val="18"/>
              <w:szCs w:val="18"/>
            </w:rPr>
            <w:t>Commission</w:t>
          </w:r>
          <w:r>
            <w:rPr>
              <w:rFonts w:ascii="Arial" w:hAnsi="Arial" w:cs="Arial"/>
              <w:color w:val="7F7F7F" w:themeColor="text1" w:themeTint="80"/>
              <w:sz w:val="18"/>
              <w:szCs w:val="18"/>
            </w:rPr>
            <w:t>er</w:t>
          </w:r>
        </w:p>
        <w:p w14:paraId="768A5304" w14:textId="77777777" w:rsidR="00095899" w:rsidRDefault="00095899" w:rsidP="00095899">
          <w:pPr>
            <w:pStyle w:val="Header"/>
            <w:jc w:val="right"/>
          </w:pPr>
        </w:p>
      </w:tc>
    </w:tr>
  </w:tbl>
  <w:p w14:paraId="22AA4785" w14:textId="1BA22F1C" w:rsidR="00095899" w:rsidRPr="00CA25F2" w:rsidRDefault="00095899" w:rsidP="00516DA3">
    <w:pPr>
      <w:pStyle w:val="Header"/>
      <w:spacing w:line="276" w:lineRule="auto"/>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34C1FFB"/>
    <w:multiLevelType w:val="hybridMultilevel"/>
    <w:tmpl w:val="CF068926"/>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C7B1CF5"/>
    <w:multiLevelType w:val="hybridMultilevel"/>
    <w:tmpl w:val="413E3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101622"/>
    <w:multiLevelType w:val="hybridMultilevel"/>
    <w:tmpl w:val="B36C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774089"/>
    <w:multiLevelType w:val="hybridMultilevel"/>
    <w:tmpl w:val="15D88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77A"/>
    <w:rsid w:val="000070B1"/>
    <w:rsid w:val="000369CA"/>
    <w:rsid w:val="0009501D"/>
    <w:rsid w:val="00095899"/>
    <w:rsid w:val="000A1316"/>
    <w:rsid w:val="000C4AF5"/>
    <w:rsid w:val="0013194C"/>
    <w:rsid w:val="001D1E98"/>
    <w:rsid w:val="001E6651"/>
    <w:rsid w:val="002054F9"/>
    <w:rsid w:val="00207B0A"/>
    <w:rsid w:val="00236258"/>
    <w:rsid w:val="00305462"/>
    <w:rsid w:val="00306041"/>
    <w:rsid w:val="00322420"/>
    <w:rsid w:val="003A1B09"/>
    <w:rsid w:val="003F4256"/>
    <w:rsid w:val="004009BC"/>
    <w:rsid w:val="00421B53"/>
    <w:rsid w:val="00422E5D"/>
    <w:rsid w:val="00434154"/>
    <w:rsid w:val="00451CC3"/>
    <w:rsid w:val="00452E4A"/>
    <w:rsid w:val="00457AA4"/>
    <w:rsid w:val="004A4FDD"/>
    <w:rsid w:val="004B63C3"/>
    <w:rsid w:val="00516DA3"/>
    <w:rsid w:val="00530C20"/>
    <w:rsid w:val="00532E5B"/>
    <w:rsid w:val="00557BCC"/>
    <w:rsid w:val="00561821"/>
    <w:rsid w:val="005907D2"/>
    <w:rsid w:val="005A38D0"/>
    <w:rsid w:val="005D72BC"/>
    <w:rsid w:val="005E1AB6"/>
    <w:rsid w:val="005E32DB"/>
    <w:rsid w:val="005E50BD"/>
    <w:rsid w:val="00625D68"/>
    <w:rsid w:val="00672459"/>
    <w:rsid w:val="00683A4B"/>
    <w:rsid w:val="006F768D"/>
    <w:rsid w:val="0071745B"/>
    <w:rsid w:val="00735F93"/>
    <w:rsid w:val="007C1EB9"/>
    <w:rsid w:val="007D6ABC"/>
    <w:rsid w:val="00803F71"/>
    <w:rsid w:val="00832C03"/>
    <w:rsid w:val="008C2625"/>
    <w:rsid w:val="008C6240"/>
    <w:rsid w:val="008C75F9"/>
    <w:rsid w:val="008F6F27"/>
    <w:rsid w:val="00934132"/>
    <w:rsid w:val="00965634"/>
    <w:rsid w:val="00977268"/>
    <w:rsid w:val="0098031A"/>
    <w:rsid w:val="00985778"/>
    <w:rsid w:val="0098708B"/>
    <w:rsid w:val="009A763E"/>
    <w:rsid w:val="009B3660"/>
    <w:rsid w:val="009C2D92"/>
    <w:rsid w:val="009E2133"/>
    <w:rsid w:val="00A13D47"/>
    <w:rsid w:val="00A448E3"/>
    <w:rsid w:val="00A46E0C"/>
    <w:rsid w:val="00A67506"/>
    <w:rsid w:val="00A800CE"/>
    <w:rsid w:val="00AA177A"/>
    <w:rsid w:val="00B11D56"/>
    <w:rsid w:val="00B12DA4"/>
    <w:rsid w:val="00B35862"/>
    <w:rsid w:val="00B420B8"/>
    <w:rsid w:val="00BE4EBF"/>
    <w:rsid w:val="00C338B5"/>
    <w:rsid w:val="00C52C49"/>
    <w:rsid w:val="00CA0505"/>
    <w:rsid w:val="00CA25F2"/>
    <w:rsid w:val="00CB7AFA"/>
    <w:rsid w:val="00CD212A"/>
    <w:rsid w:val="00D043D4"/>
    <w:rsid w:val="00D23A67"/>
    <w:rsid w:val="00D31166"/>
    <w:rsid w:val="00D332B3"/>
    <w:rsid w:val="00DA243B"/>
    <w:rsid w:val="00DA4202"/>
    <w:rsid w:val="00DB0D99"/>
    <w:rsid w:val="00DC57A5"/>
    <w:rsid w:val="00DD21F5"/>
    <w:rsid w:val="00E212CA"/>
    <w:rsid w:val="00E53931"/>
    <w:rsid w:val="00E6649D"/>
    <w:rsid w:val="00E72D1F"/>
    <w:rsid w:val="00E93C1C"/>
    <w:rsid w:val="00F03B0B"/>
    <w:rsid w:val="00F37025"/>
    <w:rsid w:val="00F475B7"/>
    <w:rsid w:val="00F812BF"/>
    <w:rsid w:val="00F81B37"/>
    <w:rsid w:val="00FA1F34"/>
    <w:rsid w:val="00FA7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8AA017"/>
  <w15:docId w15:val="{BE2E3BCC-22F7-4A2E-87A0-CE3F1F56D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154"/>
  </w:style>
  <w:style w:type="paragraph" w:styleId="Heading1">
    <w:name w:val="heading 1"/>
    <w:basedOn w:val="Normal"/>
    <w:next w:val="Normal"/>
    <w:link w:val="Heading1Char"/>
    <w:uiPriority w:val="9"/>
    <w:qFormat/>
    <w:rsid w:val="00D23A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532E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2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256"/>
  </w:style>
  <w:style w:type="paragraph" w:styleId="Footer">
    <w:name w:val="footer"/>
    <w:basedOn w:val="Normal"/>
    <w:link w:val="FooterChar"/>
    <w:uiPriority w:val="99"/>
    <w:unhideWhenUsed/>
    <w:rsid w:val="003F42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256"/>
  </w:style>
  <w:style w:type="table" w:styleId="TableGrid">
    <w:name w:val="Table Grid"/>
    <w:basedOn w:val="TableNormal"/>
    <w:uiPriority w:val="39"/>
    <w:rsid w:val="003F4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66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651"/>
    <w:rPr>
      <w:rFonts w:ascii="Segoe UI" w:hAnsi="Segoe UI" w:cs="Segoe UI"/>
      <w:sz w:val="18"/>
      <w:szCs w:val="18"/>
    </w:rPr>
  </w:style>
  <w:style w:type="character" w:customStyle="1" w:styleId="Heading3Char">
    <w:name w:val="Heading 3 Char"/>
    <w:basedOn w:val="DefaultParagraphFont"/>
    <w:link w:val="Heading3"/>
    <w:uiPriority w:val="9"/>
    <w:rsid w:val="00532E5B"/>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D043D4"/>
    <w:rPr>
      <w:color w:val="0563C1" w:themeColor="hyperlink"/>
      <w:u w:val="single"/>
    </w:rPr>
  </w:style>
  <w:style w:type="paragraph" w:styleId="NormalWeb">
    <w:name w:val="Normal (Web)"/>
    <w:basedOn w:val="Normal"/>
    <w:uiPriority w:val="99"/>
    <w:unhideWhenUsed/>
    <w:rsid w:val="003A1B09"/>
    <w:pPr>
      <w:spacing w:after="0" w:line="240" w:lineRule="auto"/>
    </w:pPr>
    <w:rPr>
      <w:rFonts w:ascii="Times New Roman" w:hAnsi="Times New Roman" w:cs="Times New Roman"/>
      <w:sz w:val="24"/>
      <w:szCs w:val="24"/>
    </w:rPr>
  </w:style>
  <w:style w:type="character" w:styleId="Emphasis">
    <w:name w:val="Emphasis"/>
    <w:basedOn w:val="DefaultParagraphFont"/>
    <w:uiPriority w:val="20"/>
    <w:qFormat/>
    <w:rsid w:val="003A1B09"/>
    <w:rPr>
      <w:i/>
      <w:iCs/>
    </w:rPr>
  </w:style>
  <w:style w:type="character" w:styleId="Strong">
    <w:name w:val="Strong"/>
    <w:basedOn w:val="DefaultParagraphFont"/>
    <w:uiPriority w:val="22"/>
    <w:qFormat/>
    <w:rsid w:val="003A1B09"/>
    <w:rPr>
      <w:b/>
      <w:bCs/>
    </w:rPr>
  </w:style>
  <w:style w:type="character" w:customStyle="1" w:styleId="Heading1Char">
    <w:name w:val="Heading 1 Char"/>
    <w:basedOn w:val="DefaultParagraphFont"/>
    <w:link w:val="Heading1"/>
    <w:uiPriority w:val="9"/>
    <w:rsid w:val="00D23A6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72D1F"/>
    <w:pPr>
      <w:ind w:left="720"/>
      <w:contextualSpacing/>
    </w:pPr>
  </w:style>
  <w:style w:type="character" w:styleId="UnresolvedMention">
    <w:name w:val="Unresolved Mention"/>
    <w:basedOn w:val="DefaultParagraphFont"/>
    <w:uiPriority w:val="99"/>
    <w:semiHidden/>
    <w:unhideWhenUsed/>
    <w:rsid w:val="005E1AB6"/>
    <w:rPr>
      <w:color w:val="605E5C"/>
      <w:shd w:val="clear" w:color="auto" w:fill="E1DFDD"/>
    </w:rPr>
  </w:style>
  <w:style w:type="paragraph" w:customStyle="1" w:styleId="Default">
    <w:name w:val="Default"/>
    <w:rsid w:val="0043415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673126">
      <w:bodyDiv w:val="1"/>
      <w:marLeft w:val="0"/>
      <w:marRight w:val="0"/>
      <w:marTop w:val="0"/>
      <w:marBottom w:val="0"/>
      <w:divBdr>
        <w:top w:val="none" w:sz="0" w:space="0" w:color="auto"/>
        <w:left w:val="none" w:sz="0" w:space="0" w:color="auto"/>
        <w:bottom w:val="none" w:sz="0" w:space="0" w:color="auto"/>
        <w:right w:val="none" w:sz="0" w:space="0" w:color="auto"/>
      </w:divBdr>
    </w:div>
    <w:div w:id="1556501775">
      <w:bodyDiv w:val="1"/>
      <w:marLeft w:val="0"/>
      <w:marRight w:val="0"/>
      <w:marTop w:val="0"/>
      <w:marBottom w:val="0"/>
      <w:divBdr>
        <w:top w:val="none" w:sz="0" w:space="0" w:color="auto"/>
        <w:left w:val="none" w:sz="0" w:space="0" w:color="auto"/>
        <w:bottom w:val="none" w:sz="0" w:space="0" w:color="auto"/>
        <w:right w:val="none" w:sz="0" w:space="0" w:color="auto"/>
      </w:divBdr>
    </w:div>
    <w:div w:id="192232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asas.sm.healthcarefinancing@oasas.ny.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oasas.ny.gov" TargetMode="External"/><Relationship Id="rId1" Type="http://schemas.openxmlformats.org/officeDocument/2006/relationships/hyperlink" Target="http://www.oasas.ny.gov"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oasas.ny.gov" TargetMode="External"/><Relationship Id="rId1" Type="http://schemas.openxmlformats.org/officeDocument/2006/relationships/hyperlink" Target="http://www.oasas.ny.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ci28\Desktop\NYC_ALBANY_LETTERHEAD\nyc-albany-purple-template%201023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9D7C2A5E82E04A9861093FF4061D14" ma:contentTypeVersion="9" ma:contentTypeDescription="Create a new document." ma:contentTypeScope="" ma:versionID="17edf63d742d94e9dcb062b0f0d5fda9">
  <xsd:schema xmlns:xsd="http://www.w3.org/2001/XMLSchema" xmlns:xs="http://www.w3.org/2001/XMLSchema" xmlns:p="http://schemas.microsoft.com/office/2006/metadata/properties" xmlns:ns1="http://schemas.microsoft.com/sharepoint/v3" xmlns:ns2="5b031deb-65d2-4b21-b83c-e5986b743d58" xmlns:ns3="238bffad-8be6-4173-ac79-ab22f24d304e" targetNamespace="http://schemas.microsoft.com/office/2006/metadata/properties" ma:root="true" ma:fieldsID="e1f00b8ce8aee199fd2b1a6e50fbe4f4" ns1:_="" ns2:_="" ns3:_="">
    <xsd:import namespace="http://schemas.microsoft.com/sharepoint/v3"/>
    <xsd:import namespace="5b031deb-65d2-4b21-b83c-e5986b743d58"/>
    <xsd:import namespace="238bffad-8be6-4173-ac79-ab22f24d304e"/>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031deb-65d2-4b21-b83c-e5986b743d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8bffad-8be6-4173-ac79-ab22f24d304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00B51-CF6E-47F6-9B0F-001EA43C8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031deb-65d2-4b21-b83c-e5986b743d58"/>
    <ds:schemaRef ds:uri="238bffad-8be6-4173-ac79-ab22f24d3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3C5D8F-30AC-4ABE-8975-FA680D469969}">
  <ds:schemaRefs>
    <ds:schemaRef ds:uri="http://schemas.microsoft.com/sharepoint/v3/contenttype/forms"/>
  </ds:schemaRefs>
</ds:datastoreItem>
</file>

<file path=customXml/itemProps3.xml><?xml version="1.0" encoding="utf-8"?>
<ds:datastoreItem xmlns:ds="http://schemas.openxmlformats.org/officeDocument/2006/customXml" ds:itemID="{359C1220-E7BC-48FF-A9D4-2594C5ED407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7049D86-046C-4E1C-9902-7C8796B99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nyc-albany-purple-template 102321</Template>
  <TotalTime>1</TotalTime>
  <Pages>3</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NYS OASAS</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Ricci, Dora (OASAS)</dc:creator>
  <cp:lastModifiedBy>Meltzer, Ilyana (OASAS)</cp:lastModifiedBy>
  <cp:revision>2</cp:revision>
  <cp:lastPrinted>2015-04-03T14:21:00Z</cp:lastPrinted>
  <dcterms:created xsi:type="dcterms:W3CDTF">2022-03-14T17:07:00Z</dcterms:created>
  <dcterms:modified xsi:type="dcterms:W3CDTF">2022-03-14T17:07:00Z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0x010100309D7C2A5E82E04A9861093FF4061D14</vt:lpwstr>
  </property>
</Properties>
</file>