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D300A" w14:textId="4C8DFF62" w:rsidR="00913D56" w:rsidRDefault="00913D56" w:rsidP="00B61C1C">
      <w:pPr>
        <w:shd w:val="clear" w:color="auto" w:fill="FFFFFF"/>
        <w:jc w:val="center"/>
        <w:rPr>
          <w:rFonts w:eastAsia="Times New Roman" w:cstheme="minorHAnsi"/>
          <w:color w:val="222222"/>
        </w:rPr>
      </w:pPr>
      <w:r w:rsidRPr="00A65ACD">
        <w:rPr>
          <w:noProof/>
        </w:rPr>
        <w:drawing>
          <wp:inline distT="0" distB="0" distL="0" distR="0" wp14:anchorId="7E0CE2C9" wp14:editId="4F653985">
            <wp:extent cx="3505200" cy="1054100"/>
            <wp:effectExtent l="0" t="0" r="0" b="0"/>
            <wp:docPr id="4" name="Picture 4" descr="page1image5036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36300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05200" cy="1054100"/>
                    </a:xfrm>
                    <a:prstGeom prst="rect">
                      <a:avLst/>
                    </a:prstGeom>
                    <a:noFill/>
                    <a:ln>
                      <a:noFill/>
                    </a:ln>
                  </pic:spPr>
                </pic:pic>
              </a:graphicData>
            </a:graphic>
          </wp:inline>
        </w:drawing>
      </w:r>
    </w:p>
    <w:p w14:paraId="7E8B2A1D" w14:textId="5D950B76" w:rsidR="00565839" w:rsidRDefault="00565839" w:rsidP="00B61C1C">
      <w:pPr>
        <w:shd w:val="clear" w:color="auto" w:fill="FFFFFF"/>
        <w:jc w:val="center"/>
        <w:rPr>
          <w:rFonts w:eastAsia="Times New Roman" w:cstheme="minorHAnsi"/>
          <w:color w:val="222222"/>
        </w:rPr>
      </w:pPr>
    </w:p>
    <w:p w14:paraId="39E595CB" w14:textId="77777777" w:rsidR="00565839" w:rsidRDefault="00565839" w:rsidP="00B61C1C">
      <w:pPr>
        <w:shd w:val="clear" w:color="auto" w:fill="FFFFFF"/>
        <w:jc w:val="center"/>
        <w:rPr>
          <w:rFonts w:eastAsia="Times New Roman" w:cstheme="minorHAnsi"/>
          <w:color w:val="222222"/>
        </w:rPr>
      </w:pPr>
    </w:p>
    <w:p w14:paraId="0318F2ED" w14:textId="4FE24B3C" w:rsidR="00CC5C22" w:rsidRDefault="00CC5C22" w:rsidP="00BB415A">
      <w:pPr>
        <w:shd w:val="clear" w:color="auto" w:fill="FFFFFF"/>
        <w:rPr>
          <w:rFonts w:eastAsia="Times New Roman" w:cstheme="minorHAnsi"/>
          <w:color w:val="222222"/>
        </w:rPr>
      </w:pPr>
      <w:r>
        <w:rPr>
          <w:rFonts w:eastAsia="Times New Roman" w:cstheme="minorHAnsi"/>
          <w:color w:val="222222"/>
        </w:rPr>
        <w:t>TO:</w:t>
      </w:r>
      <w:r>
        <w:rPr>
          <w:rFonts w:eastAsia="Times New Roman" w:cstheme="minorHAnsi"/>
          <w:color w:val="222222"/>
        </w:rPr>
        <w:tab/>
      </w:r>
      <w:r>
        <w:rPr>
          <w:rFonts w:eastAsia="Times New Roman" w:cstheme="minorHAnsi"/>
          <w:color w:val="222222"/>
        </w:rPr>
        <w:tab/>
        <w:t xml:space="preserve">Amir </w:t>
      </w:r>
      <w:proofErr w:type="spellStart"/>
      <w:r>
        <w:rPr>
          <w:rFonts w:eastAsia="Times New Roman" w:cstheme="minorHAnsi"/>
          <w:color w:val="222222"/>
        </w:rPr>
        <w:t>Bassiri</w:t>
      </w:r>
      <w:proofErr w:type="spellEnd"/>
      <w:r w:rsidR="003B736A">
        <w:rPr>
          <w:rFonts w:eastAsia="Times New Roman" w:cstheme="minorHAnsi"/>
          <w:color w:val="222222"/>
        </w:rPr>
        <w:t>, NYS Medicaid Director, NYSDOH</w:t>
      </w:r>
    </w:p>
    <w:p w14:paraId="63BCBBC0" w14:textId="3AD506F9" w:rsidR="00CC5C22" w:rsidRDefault="00CC5C22" w:rsidP="003B736A">
      <w:pPr>
        <w:shd w:val="clear" w:color="auto" w:fill="FFFFFF"/>
        <w:ind w:left="1440" w:hanging="1440"/>
        <w:rPr>
          <w:rFonts w:eastAsia="Times New Roman" w:cstheme="minorHAnsi"/>
          <w:color w:val="222222"/>
        </w:rPr>
      </w:pPr>
      <w:r>
        <w:rPr>
          <w:rFonts w:eastAsia="Times New Roman" w:cstheme="minorHAnsi"/>
          <w:color w:val="222222"/>
        </w:rPr>
        <w:t>FROM:</w:t>
      </w:r>
      <w:r>
        <w:rPr>
          <w:rFonts w:eastAsia="Times New Roman" w:cstheme="minorHAnsi"/>
          <w:color w:val="222222"/>
        </w:rPr>
        <w:tab/>
        <w:t>Lauri Cole</w:t>
      </w:r>
      <w:r w:rsidR="003B736A">
        <w:rPr>
          <w:rFonts w:eastAsia="Times New Roman" w:cstheme="minorHAnsi"/>
          <w:color w:val="222222"/>
        </w:rPr>
        <w:t>, Executive Director</w:t>
      </w:r>
      <w:r w:rsidR="00565839">
        <w:rPr>
          <w:rFonts w:eastAsia="Times New Roman" w:cstheme="minorHAnsi"/>
          <w:color w:val="222222"/>
        </w:rPr>
        <w:t xml:space="preserve">, </w:t>
      </w:r>
      <w:r w:rsidR="003B736A">
        <w:rPr>
          <w:rFonts w:eastAsia="Times New Roman" w:cstheme="minorHAnsi"/>
          <w:color w:val="222222"/>
        </w:rPr>
        <w:t>NYS Council for Community Behavioral Healthcare</w:t>
      </w:r>
    </w:p>
    <w:p w14:paraId="712947BC" w14:textId="6E0F6308" w:rsidR="00CC5C22" w:rsidRDefault="00CC5C22" w:rsidP="00BB415A">
      <w:pPr>
        <w:shd w:val="clear" w:color="auto" w:fill="FFFFFF"/>
        <w:rPr>
          <w:rFonts w:eastAsia="Times New Roman" w:cstheme="minorHAnsi"/>
          <w:color w:val="222222"/>
        </w:rPr>
      </w:pPr>
      <w:r>
        <w:rPr>
          <w:rFonts w:eastAsia="Times New Roman" w:cstheme="minorHAnsi"/>
          <w:color w:val="222222"/>
        </w:rPr>
        <w:t xml:space="preserve">DATE: </w:t>
      </w:r>
      <w:r>
        <w:rPr>
          <w:rFonts w:eastAsia="Times New Roman" w:cstheme="minorHAnsi"/>
          <w:color w:val="222222"/>
        </w:rPr>
        <w:tab/>
      </w:r>
      <w:r>
        <w:rPr>
          <w:rFonts w:eastAsia="Times New Roman" w:cstheme="minorHAnsi"/>
          <w:color w:val="222222"/>
        </w:rPr>
        <w:tab/>
        <w:t>November 2</w:t>
      </w:r>
      <w:r w:rsidR="00D46449">
        <w:rPr>
          <w:rFonts w:eastAsia="Times New Roman" w:cstheme="minorHAnsi"/>
          <w:color w:val="222222"/>
        </w:rPr>
        <w:t>9</w:t>
      </w:r>
      <w:r>
        <w:rPr>
          <w:rFonts w:eastAsia="Times New Roman" w:cstheme="minorHAnsi"/>
          <w:color w:val="222222"/>
        </w:rPr>
        <w:t>, 2022</w:t>
      </w:r>
    </w:p>
    <w:p w14:paraId="182522C2" w14:textId="0442B032" w:rsidR="00CC5C22" w:rsidRPr="00CC5C22" w:rsidRDefault="00CC5C22" w:rsidP="00CC5C22">
      <w:pPr>
        <w:shd w:val="clear" w:color="auto" w:fill="FFFFFF"/>
        <w:ind w:left="1440" w:hanging="1440"/>
        <w:rPr>
          <w:rFonts w:eastAsia="Times New Roman" w:cstheme="minorHAnsi"/>
          <w:b/>
          <w:bCs/>
          <w:color w:val="222222"/>
        </w:rPr>
      </w:pPr>
      <w:r w:rsidRPr="00CC5C22">
        <w:rPr>
          <w:rFonts w:eastAsia="Times New Roman" w:cstheme="minorHAnsi"/>
          <w:b/>
          <w:bCs/>
          <w:color w:val="222222"/>
        </w:rPr>
        <w:t>RE:</w:t>
      </w:r>
      <w:r w:rsidRPr="00CC5C22">
        <w:rPr>
          <w:rFonts w:eastAsia="Times New Roman" w:cstheme="minorHAnsi"/>
          <w:b/>
          <w:bCs/>
          <w:color w:val="222222"/>
        </w:rPr>
        <w:tab/>
        <w:t xml:space="preserve">Recommendations to Reform the Behavioral Health Medicaid Managed Care Model to Strengthen Protections for </w:t>
      </w:r>
      <w:r w:rsidR="00565839">
        <w:rPr>
          <w:rFonts w:eastAsia="Times New Roman" w:cstheme="minorHAnsi"/>
          <w:b/>
          <w:bCs/>
          <w:color w:val="222222"/>
        </w:rPr>
        <w:t xml:space="preserve">Care Recipients and Providers </w:t>
      </w:r>
    </w:p>
    <w:p w14:paraId="0856EC0D" w14:textId="316CFA5C" w:rsidR="00322BE7" w:rsidRDefault="00322BE7" w:rsidP="00BB415A">
      <w:pPr>
        <w:shd w:val="clear" w:color="auto" w:fill="FFFFFF"/>
        <w:rPr>
          <w:rFonts w:eastAsia="Times New Roman" w:cstheme="minorHAnsi"/>
          <w:color w:val="222222"/>
        </w:rPr>
      </w:pPr>
    </w:p>
    <w:p w14:paraId="3CCD6D2B" w14:textId="77777777" w:rsidR="001176CC" w:rsidRDefault="001176CC" w:rsidP="00BB415A">
      <w:pPr>
        <w:shd w:val="clear" w:color="auto" w:fill="FFFFFF"/>
        <w:rPr>
          <w:rFonts w:eastAsia="Times New Roman" w:cstheme="minorHAnsi"/>
          <w:color w:val="222222"/>
        </w:rPr>
      </w:pPr>
    </w:p>
    <w:p w14:paraId="40D4F7B7" w14:textId="30DF79F8" w:rsidR="00BB415A" w:rsidRDefault="00CC5C22" w:rsidP="00BB415A">
      <w:pPr>
        <w:shd w:val="clear" w:color="auto" w:fill="FFFFFF"/>
        <w:rPr>
          <w:rFonts w:eastAsia="Times New Roman" w:cstheme="minorHAnsi"/>
          <w:color w:val="222222"/>
        </w:rPr>
      </w:pPr>
      <w:r>
        <w:rPr>
          <w:rFonts w:eastAsia="Times New Roman" w:cstheme="minorHAnsi"/>
          <w:color w:val="222222"/>
        </w:rPr>
        <w:t>Following our meeting earlier this month, on November 9, 2022</w:t>
      </w:r>
      <w:r w:rsidR="00797D91">
        <w:rPr>
          <w:rFonts w:eastAsia="Times New Roman" w:cstheme="minorHAnsi"/>
          <w:color w:val="222222"/>
        </w:rPr>
        <w:t>,</w:t>
      </w:r>
      <w:r>
        <w:rPr>
          <w:rFonts w:eastAsia="Times New Roman" w:cstheme="minorHAnsi"/>
          <w:color w:val="222222"/>
        </w:rPr>
        <w:t xml:space="preserve"> our government relations consultant Marcy Savage</w:t>
      </w:r>
      <w:r w:rsidR="00BB415A" w:rsidRPr="00BB415A">
        <w:rPr>
          <w:rFonts w:eastAsia="Times New Roman" w:cstheme="minorHAnsi"/>
          <w:color w:val="222222"/>
        </w:rPr>
        <w:t xml:space="preserve"> sent you </w:t>
      </w:r>
      <w:r>
        <w:rPr>
          <w:rFonts w:eastAsia="Times New Roman" w:cstheme="minorHAnsi"/>
          <w:color w:val="222222"/>
        </w:rPr>
        <w:t>an outline that</w:t>
      </w:r>
      <w:r w:rsidR="00BB415A" w:rsidRPr="00BB415A">
        <w:rPr>
          <w:rFonts w:eastAsia="Times New Roman" w:cstheme="minorHAnsi"/>
          <w:color w:val="222222"/>
        </w:rPr>
        <w:t xml:space="preserve"> identifies various systemic problems</w:t>
      </w:r>
      <w:r>
        <w:rPr>
          <w:rFonts w:eastAsia="Times New Roman" w:cstheme="minorHAnsi"/>
          <w:color w:val="222222"/>
        </w:rPr>
        <w:t xml:space="preserve"> that</w:t>
      </w:r>
      <w:r w:rsidR="00BB415A" w:rsidRPr="00BB415A">
        <w:rPr>
          <w:rFonts w:eastAsia="Times New Roman" w:cstheme="minorHAnsi"/>
          <w:color w:val="222222"/>
        </w:rPr>
        <w:t xml:space="preserve"> providers experience as they struggle to transact business with MCOs</w:t>
      </w:r>
      <w:r>
        <w:rPr>
          <w:rFonts w:eastAsia="Times New Roman" w:cstheme="minorHAnsi"/>
          <w:color w:val="222222"/>
        </w:rPr>
        <w:t xml:space="preserve"> (also embedded below at the end of this memo).  </w:t>
      </w:r>
      <w:r w:rsidR="00797D91">
        <w:rPr>
          <w:rFonts w:eastAsia="Times New Roman" w:cstheme="minorHAnsi"/>
          <w:color w:val="222222"/>
        </w:rPr>
        <w:t>Also,</w:t>
      </w:r>
      <w:r>
        <w:rPr>
          <w:rFonts w:eastAsia="Times New Roman" w:cstheme="minorHAnsi"/>
          <w:color w:val="222222"/>
        </w:rPr>
        <w:t xml:space="preserve"> during our recent discussion</w:t>
      </w:r>
      <w:r w:rsidR="00797D91">
        <w:rPr>
          <w:rFonts w:eastAsia="Times New Roman" w:cstheme="minorHAnsi"/>
          <w:color w:val="222222"/>
        </w:rPr>
        <w:t>,</w:t>
      </w:r>
      <w:r>
        <w:rPr>
          <w:rFonts w:eastAsia="Times New Roman" w:cstheme="minorHAnsi"/>
          <w:color w:val="222222"/>
        </w:rPr>
        <w:t xml:space="preserve"> we heard</w:t>
      </w:r>
      <w:r w:rsidR="00BB415A" w:rsidRPr="00BB415A">
        <w:rPr>
          <w:rFonts w:eastAsia="Times New Roman" w:cstheme="minorHAnsi"/>
          <w:color w:val="222222"/>
        </w:rPr>
        <w:t xml:space="preserve"> your request for recommendations as to how the state could strengthen protections for providers and consumers through reform of the B</w:t>
      </w:r>
      <w:r>
        <w:rPr>
          <w:rFonts w:eastAsia="Times New Roman" w:cstheme="minorHAnsi"/>
          <w:color w:val="222222"/>
        </w:rPr>
        <w:t>ehavioral Health</w:t>
      </w:r>
      <w:r w:rsidR="00BB415A" w:rsidRPr="00BB415A">
        <w:rPr>
          <w:rFonts w:eastAsia="Times New Roman" w:cstheme="minorHAnsi"/>
          <w:color w:val="222222"/>
        </w:rPr>
        <w:t xml:space="preserve"> MMC model.  We did some initial research and learned the following:</w:t>
      </w:r>
    </w:p>
    <w:p w14:paraId="32045D29" w14:textId="6C76AF9B" w:rsidR="00CC5C22" w:rsidRDefault="00CC5C22" w:rsidP="00BB415A">
      <w:pPr>
        <w:shd w:val="clear" w:color="auto" w:fill="FFFFFF"/>
        <w:rPr>
          <w:rFonts w:eastAsia="Times New Roman" w:cstheme="minorHAnsi"/>
          <w:color w:val="222222"/>
        </w:rPr>
      </w:pPr>
    </w:p>
    <w:p w14:paraId="203BB29D" w14:textId="5C578732" w:rsidR="00CC5C22" w:rsidRPr="00BB415A" w:rsidRDefault="00CC5C22" w:rsidP="00BB415A">
      <w:pPr>
        <w:shd w:val="clear" w:color="auto" w:fill="FFFFFF"/>
        <w:rPr>
          <w:rFonts w:eastAsia="Times New Roman" w:cstheme="minorHAnsi"/>
          <w:b/>
          <w:bCs/>
          <w:i/>
          <w:iCs/>
          <w:color w:val="222222"/>
        </w:rPr>
      </w:pPr>
      <w:r>
        <w:rPr>
          <w:rFonts w:eastAsia="Times New Roman" w:cstheme="minorHAnsi"/>
          <w:b/>
          <w:bCs/>
          <w:i/>
          <w:iCs/>
          <w:color w:val="222222"/>
        </w:rPr>
        <w:t>Other States</w:t>
      </w:r>
    </w:p>
    <w:p w14:paraId="4530006C" w14:textId="77777777" w:rsidR="00BB415A" w:rsidRPr="00BB415A" w:rsidRDefault="00BB415A" w:rsidP="00BB415A">
      <w:pPr>
        <w:numPr>
          <w:ilvl w:val="0"/>
          <w:numId w:val="1"/>
        </w:numPr>
        <w:shd w:val="clear" w:color="auto" w:fill="FFFFFF"/>
        <w:spacing w:before="100" w:beforeAutospacing="1" w:after="100" w:afterAutospacing="1"/>
        <w:ind w:left="945"/>
        <w:rPr>
          <w:rFonts w:eastAsia="Times New Roman" w:cstheme="minorHAnsi"/>
          <w:color w:val="222222"/>
        </w:rPr>
      </w:pPr>
      <w:r w:rsidRPr="00BB415A">
        <w:rPr>
          <w:rFonts w:eastAsia="Times New Roman" w:cstheme="minorHAnsi"/>
          <w:color w:val="222222"/>
        </w:rPr>
        <w:t>At the present time, 37 states have enacted some form of Medicaid managed care for special need and other populations in their states.   Of these, only 3 do not employ a competitive procurement to identify vendors that will manage benefits for these individuals, New York being one of the three. </w:t>
      </w:r>
    </w:p>
    <w:p w14:paraId="77334DBE" w14:textId="10B49567" w:rsidR="00CC5C22" w:rsidRDefault="00BB415A" w:rsidP="00CC5C22">
      <w:pPr>
        <w:numPr>
          <w:ilvl w:val="0"/>
          <w:numId w:val="1"/>
        </w:numPr>
        <w:shd w:val="clear" w:color="auto" w:fill="FFFFFF"/>
        <w:spacing w:before="100" w:beforeAutospacing="1" w:after="100" w:afterAutospacing="1"/>
        <w:ind w:left="945"/>
        <w:rPr>
          <w:rFonts w:eastAsia="Times New Roman" w:cstheme="minorHAnsi"/>
          <w:color w:val="222222"/>
        </w:rPr>
      </w:pPr>
      <w:r w:rsidRPr="00BB415A">
        <w:rPr>
          <w:rFonts w:eastAsia="Times New Roman" w:cstheme="minorHAnsi"/>
          <w:color w:val="222222"/>
        </w:rPr>
        <w:t xml:space="preserve">In Arizona, the state publicly posts financial penalties and citations by name of the plan.  In </w:t>
      </w:r>
      <w:r w:rsidR="00797D91" w:rsidRPr="00BB415A">
        <w:rPr>
          <w:rFonts w:eastAsia="Times New Roman" w:cstheme="minorHAnsi"/>
          <w:color w:val="222222"/>
        </w:rPr>
        <w:t>fact,</w:t>
      </w:r>
      <w:r w:rsidRPr="00BB415A">
        <w:rPr>
          <w:rFonts w:eastAsia="Times New Roman" w:cstheme="minorHAnsi"/>
          <w:color w:val="222222"/>
        </w:rPr>
        <w:t xml:space="preserve"> there is an entire section of a state hosted website devoted to transparent information related to the carve in of Medicaid services to include operational reports, audited financial statements, citations and enforcements, etc.  Here's a</w:t>
      </w:r>
      <w:r w:rsidR="00CC5C22">
        <w:rPr>
          <w:rFonts w:eastAsia="Times New Roman" w:cstheme="minorHAnsi"/>
          <w:color w:val="222222"/>
        </w:rPr>
        <w:t xml:space="preserve"> </w:t>
      </w:r>
      <w:r w:rsidRPr="00BB415A">
        <w:rPr>
          <w:rFonts w:eastAsia="Times New Roman" w:cstheme="minorHAnsi"/>
          <w:color w:val="222222"/>
        </w:rPr>
        <w:t>link:</w:t>
      </w:r>
      <w:r w:rsidR="00CC5C22">
        <w:rPr>
          <w:rFonts w:eastAsia="Times New Roman" w:cstheme="minorHAnsi"/>
          <w:color w:val="222222"/>
        </w:rPr>
        <w:t xml:space="preserve"> </w:t>
      </w:r>
    </w:p>
    <w:p w14:paraId="5D8CFA03" w14:textId="2C91FA12" w:rsidR="00BB415A" w:rsidRPr="00BB415A" w:rsidRDefault="00BB415A" w:rsidP="00CC5C22">
      <w:pPr>
        <w:shd w:val="clear" w:color="auto" w:fill="FFFFFF"/>
        <w:spacing w:before="100" w:beforeAutospacing="1" w:after="100" w:afterAutospacing="1"/>
        <w:ind w:left="945"/>
        <w:rPr>
          <w:rFonts w:eastAsia="Times New Roman" w:cstheme="minorHAnsi"/>
          <w:color w:val="222222"/>
        </w:rPr>
      </w:pPr>
      <w:r w:rsidRPr="00BB415A">
        <w:rPr>
          <w:rFonts w:eastAsia="Times New Roman" w:cstheme="minorHAnsi"/>
          <w:color w:val="222222"/>
        </w:rPr>
        <w:t> </w:t>
      </w:r>
      <w:hyperlink r:id="rId9" w:tgtFrame="_blank" w:history="1">
        <w:r w:rsidRPr="00BB415A">
          <w:rPr>
            <w:rFonts w:eastAsia="Times New Roman" w:cstheme="minorHAnsi"/>
            <w:color w:val="1155CC"/>
            <w:u w:val="single"/>
          </w:rPr>
          <w:t>https://www.azahcccs.gov/Resources/OversightOfHealthPlans/OpReviews.html</w:t>
        </w:r>
      </w:hyperlink>
    </w:p>
    <w:p w14:paraId="04602993" w14:textId="7DD38895" w:rsidR="00BB415A" w:rsidRPr="00BB415A" w:rsidRDefault="00BB415A" w:rsidP="00BB415A">
      <w:pPr>
        <w:numPr>
          <w:ilvl w:val="0"/>
          <w:numId w:val="1"/>
        </w:numPr>
        <w:shd w:val="clear" w:color="auto" w:fill="FFFFFF"/>
        <w:spacing w:before="100" w:beforeAutospacing="1" w:after="100" w:afterAutospacing="1"/>
        <w:ind w:left="945"/>
        <w:rPr>
          <w:rFonts w:eastAsia="Times New Roman" w:cstheme="minorHAnsi"/>
          <w:color w:val="222222"/>
        </w:rPr>
      </w:pPr>
      <w:r w:rsidRPr="00BB415A">
        <w:rPr>
          <w:rFonts w:eastAsia="Times New Roman" w:cstheme="minorHAnsi"/>
          <w:color w:val="222222"/>
        </w:rPr>
        <w:t xml:space="preserve">In Massachusetts, the state employs a recurring competitive procurement </w:t>
      </w:r>
      <w:r w:rsidR="00797D91" w:rsidRPr="00BB415A">
        <w:rPr>
          <w:rFonts w:eastAsia="Times New Roman" w:cstheme="minorHAnsi"/>
          <w:color w:val="222222"/>
        </w:rPr>
        <w:t>model,</w:t>
      </w:r>
      <w:r w:rsidRPr="00BB415A">
        <w:rPr>
          <w:rFonts w:eastAsia="Times New Roman" w:cstheme="minorHAnsi"/>
          <w:color w:val="222222"/>
        </w:rPr>
        <w:t xml:space="preserve"> and the </w:t>
      </w:r>
      <w:r w:rsidRPr="00BB415A">
        <w:rPr>
          <w:rFonts w:eastAsia="Times New Roman" w:cstheme="minorHAnsi"/>
          <w:i/>
          <w:iCs/>
          <w:color w:val="222222"/>
        </w:rPr>
        <w:t>state does not permit health plans to outsource administration of their BH benefit.  Oregon has a similar provision that limits hand off of responsibility to BHOs.</w:t>
      </w:r>
    </w:p>
    <w:p w14:paraId="78278FC4" w14:textId="1A6344C3" w:rsidR="00BB415A" w:rsidRPr="00BB415A" w:rsidRDefault="00BB415A" w:rsidP="00BB415A">
      <w:pPr>
        <w:numPr>
          <w:ilvl w:val="0"/>
          <w:numId w:val="1"/>
        </w:numPr>
        <w:shd w:val="clear" w:color="auto" w:fill="FFFFFF"/>
        <w:spacing w:before="100" w:beforeAutospacing="1" w:after="100" w:afterAutospacing="1"/>
        <w:ind w:left="945"/>
        <w:rPr>
          <w:rFonts w:eastAsia="Times New Roman" w:cstheme="minorHAnsi"/>
          <w:color w:val="222222"/>
        </w:rPr>
      </w:pPr>
      <w:r w:rsidRPr="00BB415A">
        <w:rPr>
          <w:rFonts w:eastAsia="Times New Roman" w:cstheme="minorHAnsi"/>
          <w:color w:val="222222"/>
        </w:rPr>
        <w:t>Texas utilizes plan incentives/disincentives to ensure MCOs meet</w:t>
      </w:r>
      <w:r w:rsidRPr="00BB415A">
        <w:rPr>
          <w:rFonts w:eastAsia="Times New Roman" w:cstheme="minorHAnsi"/>
          <w:b/>
          <w:bCs/>
          <w:color w:val="222222"/>
        </w:rPr>
        <w:t> service penetration</w:t>
      </w:r>
      <w:r w:rsidRPr="00BB415A">
        <w:rPr>
          <w:rFonts w:eastAsia="Times New Roman" w:cstheme="minorHAnsi"/>
          <w:color w:val="222222"/>
        </w:rPr>
        <w:t> expectations.  Service penetration is a measure of the extent to which an MCO </w:t>
      </w:r>
      <w:r w:rsidRPr="00BB415A">
        <w:rPr>
          <w:rFonts w:eastAsia="Times New Roman" w:cstheme="minorHAnsi"/>
          <w:b/>
          <w:bCs/>
          <w:color w:val="222222"/>
        </w:rPr>
        <w:t>reaches IN</w:t>
      </w:r>
      <w:r w:rsidRPr="00BB415A">
        <w:rPr>
          <w:rFonts w:eastAsia="Times New Roman" w:cstheme="minorHAnsi"/>
          <w:color w:val="222222"/>
        </w:rPr>
        <w:t xml:space="preserve"> to populations and communities it services, to ensure it is reaching </w:t>
      </w:r>
      <w:r w:rsidRPr="00BB415A">
        <w:rPr>
          <w:rFonts w:eastAsia="Times New Roman" w:cstheme="minorHAnsi"/>
          <w:color w:val="222222"/>
        </w:rPr>
        <w:lastRenderedPageBreak/>
        <w:t>and providing entree to individuals / populations who are not receiving care but who (based on epidemiological data) likely need assistance.  </w:t>
      </w:r>
    </w:p>
    <w:p w14:paraId="20C34838" w14:textId="4390D582" w:rsidR="00BB415A" w:rsidRPr="00BB415A" w:rsidRDefault="00BB415A" w:rsidP="00BB415A">
      <w:pPr>
        <w:numPr>
          <w:ilvl w:val="0"/>
          <w:numId w:val="1"/>
        </w:numPr>
        <w:shd w:val="clear" w:color="auto" w:fill="FFFFFF"/>
        <w:spacing w:before="100" w:beforeAutospacing="1" w:after="100" w:afterAutospacing="1"/>
        <w:ind w:left="945"/>
        <w:rPr>
          <w:rFonts w:eastAsia="Times New Roman" w:cstheme="minorHAnsi"/>
          <w:color w:val="222222"/>
        </w:rPr>
      </w:pPr>
      <w:r w:rsidRPr="00BB415A">
        <w:rPr>
          <w:rFonts w:eastAsia="Times New Roman" w:cstheme="minorHAnsi"/>
          <w:i/>
          <w:iCs/>
          <w:color w:val="222222"/>
        </w:rPr>
        <w:t>In Pennsylvania, the state carves out behavioral health services and utilizes a Regional Behavioral Health Organization (RBHO) in every county to manage the benefit.  The RBHO is governed by providers.  The state pays the BHO a lump sum capitation payment.  The BHO manages all the BH services beginning with paying claims, collecting required data, conducting UR, and issuing reports to the state on outcomes and quality measures.   Excess capitation funds are reinvested with the BHO.  The contracts are structured to be able to accept alternative payment arrangements.  In this example, the BH IPAs could possibly serve as the BHO entity.</w:t>
      </w:r>
    </w:p>
    <w:p w14:paraId="0DAC5D78" w14:textId="4F2310E2" w:rsidR="00797D91" w:rsidRDefault="00797D91" w:rsidP="00BB415A">
      <w:pPr>
        <w:shd w:val="clear" w:color="auto" w:fill="FFFFFF"/>
        <w:rPr>
          <w:rFonts w:eastAsia="Times New Roman" w:cstheme="minorHAnsi"/>
          <w:b/>
          <w:bCs/>
          <w:i/>
          <w:iCs/>
          <w:color w:val="222222"/>
        </w:rPr>
      </w:pPr>
      <w:r>
        <w:rPr>
          <w:rFonts w:eastAsia="Times New Roman" w:cstheme="minorHAnsi"/>
          <w:b/>
          <w:bCs/>
          <w:i/>
          <w:iCs/>
          <w:color w:val="222222"/>
        </w:rPr>
        <w:t>Other Recommendations</w:t>
      </w:r>
    </w:p>
    <w:p w14:paraId="0F4B90C9" w14:textId="77777777" w:rsidR="00797D91" w:rsidRPr="00797D91" w:rsidRDefault="00797D91" w:rsidP="00BB415A">
      <w:pPr>
        <w:shd w:val="clear" w:color="auto" w:fill="FFFFFF"/>
        <w:rPr>
          <w:rFonts w:eastAsia="Times New Roman" w:cstheme="minorHAnsi"/>
          <w:b/>
          <w:bCs/>
          <w:i/>
          <w:iCs/>
          <w:color w:val="222222"/>
        </w:rPr>
      </w:pPr>
    </w:p>
    <w:p w14:paraId="7EB6431D" w14:textId="29A0821D" w:rsidR="00BB415A" w:rsidRPr="00BB415A" w:rsidRDefault="00BB415A" w:rsidP="00BB415A">
      <w:pPr>
        <w:shd w:val="clear" w:color="auto" w:fill="FFFFFF"/>
        <w:rPr>
          <w:rFonts w:eastAsia="Times New Roman" w:cstheme="minorHAnsi"/>
          <w:color w:val="222222"/>
        </w:rPr>
      </w:pPr>
      <w:r w:rsidRPr="00BB415A">
        <w:rPr>
          <w:rFonts w:eastAsia="Times New Roman" w:cstheme="minorHAnsi"/>
          <w:color w:val="222222"/>
        </w:rPr>
        <w:t>Other protections that should be considered if the state continues to carve BH services into Medicaid managed care:</w:t>
      </w:r>
    </w:p>
    <w:p w14:paraId="3139A746" w14:textId="60FE2AF6" w:rsidR="00BB415A" w:rsidRPr="00BB415A" w:rsidRDefault="00BB415A" w:rsidP="00BB415A">
      <w:pPr>
        <w:numPr>
          <w:ilvl w:val="0"/>
          <w:numId w:val="2"/>
        </w:numPr>
        <w:shd w:val="clear" w:color="auto" w:fill="FFFFFF"/>
        <w:spacing w:before="100" w:beforeAutospacing="1" w:after="100" w:afterAutospacing="1"/>
        <w:ind w:left="945"/>
        <w:rPr>
          <w:rFonts w:eastAsia="Times New Roman" w:cstheme="minorHAnsi"/>
          <w:color w:val="222222"/>
        </w:rPr>
      </w:pPr>
      <w:r w:rsidRPr="00BB415A">
        <w:rPr>
          <w:rFonts w:eastAsia="Times New Roman" w:cstheme="minorHAnsi"/>
          <w:color w:val="222222"/>
        </w:rPr>
        <w:t xml:space="preserve">Payment Protections for Inpatient Services - At the present time, certain services operated by BH agencies (residential, detox, etc.) do not have payment protections such as an APG government rate.  Providers are forced to negotiate rates based on market conditions. </w:t>
      </w:r>
    </w:p>
    <w:p w14:paraId="0BD2E619" w14:textId="1815284D" w:rsidR="00BB415A" w:rsidRDefault="00BB415A" w:rsidP="00BB415A">
      <w:pPr>
        <w:numPr>
          <w:ilvl w:val="0"/>
          <w:numId w:val="2"/>
        </w:numPr>
        <w:shd w:val="clear" w:color="auto" w:fill="FFFFFF"/>
        <w:spacing w:before="100" w:beforeAutospacing="1" w:after="100" w:afterAutospacing="1"/>
        <w:ind w:left="945"/>
        <w:rPr>
          <w:rFonts w:eastAsia="Times New Roman" w:cstheme="minorHAnsi"/>
          <w:color w:val="222222"/>
        </w:rPr>
      </w:pPr>
      <w:r w:rsidRPr="00BB415A">
        <w:rPr>
          <w:rFonts w:eastAsia="Times New Roman" w:cstheme="minorHAnsi"/>
          <w:color w:val="222222"/>
        </w:rPr>
        <w:t xml:space="preserve">Retroactive Payment - </w:t>
      </w:r>
      <w:r w:rsidR="00797D91" w:rsidRPr="00BB415A">
        <w:rPr>
          <w:rFonts w:eastAsia="Times New Roman" w:cstheme="minorHAnsi"/>
          <w:color w:val="222222"/>
        </w:rPr>
        <w:t>Currently</w:t>
      </w:r>
      <w:r w:rsidRPr="00BB415A">
        <w:rPr>
          <w:rFonts w:eastAsia="Times New Roman" w:cstheme="minorHAnsi"/>
          <w:color w:val="222222"/>
        </w:rPr>
        <w:t>, the state does not require (and enforce the requirement) that MCOs pay providers retroactive to the date of the implementation of a new rate.  The state is required to give plans 90 days to load new rates that are posted on the appropriate state website and if plans do not do so, they are required by law to pay back to the implementation date however more often than not, providers do not receive retro payments that reflect the new rate as of the implementation date.</w:t>
      </w:r>
    </w:p>
    <w:p w14:paraId="16A7BF61" w14:textId="27A45F80" w:rsidR="00322BE7" w:rsidRDefault="00D33443" w:rsidP="00863467">
      <w:pPr>
        <w:numPr>
          <w:ilvl w:val="0"/>
          <w:numId w:val="2"/>
        </w:numPr>
        <w:shd w:val="clear" w:color="auto" w:fill="FFFFFF"/>
        <w:spacing w:before="100" w:beforeAutospacing="1" w:after="100" w:afterAutospacing="1"/>
        <w:ind w:left="945"/>
        <w:rPr>
          <w:rFonts w:eastAsia="Times New Roman" w:cstheme="minorHAnsi"/>
          <w:color w:val="222222"/>
        </w:rPr>
      </w:pPr>
      <w:r>
        <w:rPr>
          <w:rFonts w:eastAsia="Times New Roman" w:cstheme="minorHAnsi"/>
          <w:color w:val="222222"/>
        </w:rPr>
        <w:t>B</w:t>
      </w:r>
      <w:r w:rsidR="00322BE7" w:rsidRPr="00322BE7">
        <w:rPr>
          <w:rFonts w:eastAsia="Times New Roman" w:cstheme="minorHAnsi"/>
          <w:color w:val="222222"/>
        </w:rPr>
        <w:t>uild capacity to adequately surveil, monitor</w:t>
      </w:r>
      <w:r w:rsidR="00322BE7">
        <w:rPr>
          <w:rFonts w:eastAsia="Times New Roman" w:cstheme="minorHAnsi"/>
          <w:color w:val="222222"/>
        </w:rPr>
        <w:t>,</w:t>
      </w:r>
      <w:r w:rsidR="00322BE7" w:rsidRPr="00322BE7">
        <w:rPr>
          <w:rFonts w:eastAsia="Times New Roman" w:cstheme="minorHAnsi"/>
          <w:color w:val="222222"/>
        </w:rPr>
        <w:t xml:space="preserve"> and enforce the laws, cont</w:t>
      </w:r>
      <w:r w:rsidR="00322BE7">
        <w:rPr>
          <w:rFonts w:eastAsia="Times New Roman" w:cstheme="minorHAnsi"/>
          <w:color w:val="222222"/>
        </w:rPr>
        <w:t>r</w:t>
      </w:r>
      <w:r w:rsidR="00322BE7" w:rsidRPr="00322BE7">
        <w:rPr>
          <w:rFonts w:eastAsia="Times New Roman" w:cstheme="minorHAnsi"/>
          <w:color w:val="222222"/>
        </w:rPr>
        <w:t>act requirements</w:t>
      </w:r>
      <w:r w:rsidR="00322BE7">
        <w:rPr>
          <w:rFonts w:eastAsia="Times New Roman" w:cstheme="minorHAnsi"/>
          <w:color w:val="222222"/>
        </w:rPr>
        <w:t xml:space="preserve">, </w:t>
      </w:r>
      <w:r w:rsidR="00322BE7" w:rsidRPr="00322BE7">
        <w:rPr>
          <w:rFonts w:eastAsia="Times New Roman" w:cstheme="minorHAnsi"/>
          <w:color w:val="222222"/>
        </w:rPr>
        <w:t xml:space="preserve">regulations </w:t>
      </w:r>
      <w:r w:rsidR="00322BE7">
        <w:rPr>
          <w:rFonts w:eastAsia="Times New Roman" w:cstheme="minorHAnsi"/>
          <w:color w:val="222222"/>
        </w:rPr>
        <w:t xml:space="preserve">and guidance </w:t>
      </w:r>
      <w:r w:rsidR="00322BE7" w:rsidRPr="00322BE7">
        <w:rPr>
          <w:rFonts w:eastAsia="Times New Roman" w:cstheme="minorHAnsi"/>
          <w:color w:val="222222"/>
        </w:rPr>
        <w:t xml:space="preserve">governing the carve in of behavioral health services.  To do so, the Department must </w:t>
      </w:r>
      <w:r w:rsidR="00094FD6">
        <w:rPr>
          <w:rFonts w:eastAsia="Times New Roman" w:cstheme="minorHAnsi"/>
          <w:color w:val="222222"/>
        </w:rPr>
        <w:t xml:space="preserve">budget for </w:t>
      </w:r>
      <w:r w:rsidR="00322BE7" w:rsidRPr="00322BE7">
        <w:rPr>
          <w:rFonts w:eastAsia="Times New Roman" w:cstheme="minorHAnsi"/>
          <w:color w:val="222222"/>
        </w:rPr>
        <w:t>additional FTEs to ensure expeditious enforcement</w:t>
      </w:r>
      <w:r w:rsidR="00322BE7">
        <w:rPr>
          <w:rFonts w:eastAsia="Times New Roman" w:cstheme="minorHAnsi"/>
          <w:color w:val="222222"/>
        </w:rPr>
        <w:t xml:space="preserve"> of all </w:t>
      </w:r>
      <w:r w:rsidR="00094FD6">
        <w:rPr>
          <w:rFonts w:eastAsia="Times New Roman" w:cstheme="minorHAnsi"/>
          <w:color w:val="222222"/>
        </w:rPr>
        <w:t>Model Contract provisions.</w:t>
      </w:r>
    </w:p>
    <w:p w14:paraId="34D2135E" w14:textId="48FFC14F" w:rsidR="00BB415A" w:rsidRPr="00322BE7" w:rsidRDefault="00BB415A" w:rsidP="00863467">
      <w:pPr>
        <w:numPr>
          <w:ilvl w:val="0"/>
          <w:numId w:val="2"/>
        </w:numPr>
        <w:shd w:val="clear" w:color="auto" w:fill="FFFFFF"/>
        <w:spacing w:before="100" w:beforeAutospacing="1" w:after="100" w:afterAutospacing="1"/>
        <w:ind w:left="945"/>
        <w:rPr>
          <w:rFonts w:eastAsia="Times New Roman" w:cstheme="minorHAnsi"/>
          <w:color w:val="222222"/>
        </w:rPr>
      </w:pPr>
      <w:r w:rsidRPr="00322BE7">
        <w:rPr>
          <w:rFonts w:eastAsia="Times New Roman" w:cstheme="minorHAnsi"/>
          <w:color w:val="222222"/>
        </w:rPr>
        <w:t>Plans should be required to accept medical records electronically.  </w:t>
      </w:r>
    </w:p>
    <w:p w14:paraId="7A3DBF28" w14:textId="348BCB39" w:rsidR="00BB415A" w:rsidRPr="00BB415A" w:rsidRDefault="00BB415A" w:rsidP="00BB415A">
      <w:pPr>
        <w:numPr>
          <w:ilvl w:val="0"/>
          <w:numId w:val="2"/>
        </w:numPr>
        <w:shd w:val="clear" w:color="auto" w:fill="FFFFFF"/>
        <w:spacing w:before="100" w:beforeAutospacing="1" w:after="100" w:afterAutospacing="1"/>
        <w:ind w:left="945"/>
        <w:rPr>
          <w:rFonts w:eastAsia="Times New Roman" w:cstheme="minorHAnsi"/>
          <w:color w:val="222222"/>
        </w:rPr>
      </w:pPr>
      <w:r w:rsidRPr="00BB415A">
        <w:rPr>
          <w:rFonts w:eastAsia="Times New Roman" w:cstheme="minorHAnsi"/>
          <w:color w:val="222222"/>
        </w:rPr>
        <w:t xml:space="preserve">Require plans to meet metrics for service penetration and service intensity - two metrics that are considered to part of a set of metrics public insurance experts view as the 'holy grail' and </w:t>
      </w:r>
      <w:r w:rsidR="00797D91" w:rsidRPr="00BB415A">
        <w:rPr>
          <w:rFonts w:eastAsia="Times New Roman" w:cstheme="minorHAnsi"/>
          <w:color w:val="222222"/>
        </w:rPr>
        <w:t>bottom</w:t>
      </w:r>
      <w:r w:rsidR="00797D91">
        <w:rPr>
          <w:rFonts w:eastAsia="Times New Roman" w:cstheme="minorHAnsi"/>
          <w:color w:val="222222"/>
        </w:rPr>
        <w:t>-line</w:t>
      </w:r>
      <w:r w:rsidRPr="00BB415A">
        <w:rPr>
          <w:rFonts w:eastAsia="Times New Roman" w:cstheme="minorHAnsi"/>
          <w:color w:val="222222"/>
        </w:rPr>
        <w:t xml:space="preserve"> metrics plans must address.  Other 'protective metrics' that tell the story as to whether clients receiving these services are receiving what they need include:  network adequacy, continuity of care, consumer satisfaction, and rate viability.  All are part of the budget language that was enacted in 2013 but (to our knowledge) have never been made part of the Model Contract requirements for plans. </w:t>
      </w:r>
    </w:p>
    <w:p w14:paraId="00F500BC" w14:textId="49A26417" w:rsidR="00094FD6" w:rsidRPr="00BB415A" w:rsidRDefault="00094FD6" w:rsidP="00094FD6">
      <w:pPr>
        <w:numPr>
          <w:ilvl w:val="0"/>
          <w:numId w:val="2"/>
        </w:numPr>
        <w:shd w:val="clear" w:color="auto" w:fill="FFFFFF"/>
        <w:spacing w:before="100" w:beforeAutospacing="1" w:after="100" w:afterAutospacing="1"/>
        <w:ind w:left="945"/>
        <w:rPr>
          <w:rFonts w:eastAsia="Times New Roman" w:cstheme="minorHAnsi"/>
          <w:color w:val="222222"/>
        </w:rPr>
      </w:pPr>
      <w:r>
        <w:rPr>
          <w:rFonts w:eastAsia="Times New Roman" w:cstheme="minorHAnsi"/>
          <w:color w:val="222222"/>
        </w:rPr>
        <w:t xml:space="preserve">A workgroup composed of public health insurance experts should be convened to provide the state with objective recommendations regarding how to modernize its’ Network Adequacy standards.  This will provide the state with cover in the event that insurers push back on recommendations.  </w:t>
      </w:r>
    </w:p>
    <w:p w14:paraId="54669949" w14:textId="5CFFF42F" w:rsidR="00BB415A" w:rsidRPr="00913D56" w:rsidRDefault="00BB415A" w:rsidP="00BB415A">
      <w:pPr>
        <w:numPr>
          <w:ilvl w:val="0"/>
          <w:numId w:val="2"/>
        </w:numPr>
        <w:shd w:val="clear" w:color="auto" w:fill="FFFFFF"/>
        <w:spacing w:before="100" w:beforeAutospacing="1" w:after="100" w:afterAutospacing="1"/>
        <w:ind w:left="945"/>
        <w:rPr>
          <w:rFonts w:eastAsia="Times New Roman" w:cstheme="minorHAnsi"/>
          <w:color w:val="222222"/>
        </w:rPr>
      </w:pPr>
      <w:r w:rsidRPr="00BB415A">
        <w:rPr>
          <w:rFonts w:eastAsia="Times New Roman" w:cstheme="minorHAnsi"/>
          <w:color w:val="000000"/>
        </w:rPr>
        <w:lastRenderedPageBreak/>
        <w:t>Plans should be required to have minimum staffing levels for provider relations personnel.  There should be call center standards, average speed of answer, time on hold, dropped calls % (these all exist for member call centers).  Plans should be required to report on all of these measures regularly and should be penalized if they do not maintain the required standards.  There should be timeframes within which plans are required to resolve provider complaints.  This should also be measured and monitored.  Plans should have to report on the number of provider complaints and appeals rec'd the same way they report on member complaints.</w:t>
      </w:r>
    </w:p>
    <w:p w14:paraId="6B77FC3C" w14:textId="10298D70" w:rsidR="00A33241" w:rsidRPr="00094FD6" w:rsidRDefault="00913D56" w:rsidP="00EB16F7">
      <w:pPr>
        <w:numPr>
          <w:ilvl w:val="0"/>
          <w:numId w:val="2"/>
        </w:numPr>
        <w:shd w:val="clear" w:color="auto" w:fill="FFFFFF"/>
        <w:spacing w:before="100" w:beforeAutospacing="1" w:after="100" w:afterAutospacing="1"/>
        <w:ind w:left="945"/>
        <w:rPr>
          <w:rFonts w:cstheme="minorHAnsi"/>
          <w:b/>
          <w:bCs/>
          <w:i/>
          <w:iCs/>
        </w:rPr>
      </w:pPr>
      <w:r w:rsidRPr="00094FD6">
        <w:rPr>
          <w:rFonts w:eastAsia="Times New Roman" w:cstheme="minorHAnsi"/>
          <w:color w:val="000000"/>
        </w:rPr>
        <w:t xml:space="preserve">Plans should be required to utilize the same forms to collect </w:t>
      </w:r>
      <w:r w:rsidR="00094FD6" w:rsidRPr="00094FD6">
        <w:rPr>
          <w:rFonts w:eastAsia="Times New Roman" w:cstheme="minorHAnsi"/>
          <w:color w:val="000000"/>
        </w:rPr>
        <w:t xml:space="preserve">information and data </w:t>
      </w:r>
      <w:r w:rsidRPr="00094FD6">
        <w:rPr>
          <w:rFonts w:eastAsia="Times New Roman" w:cstheme="minorHAnsi"/>
          <w:color w:val="000000"/>
        </w:rPr>
        <w:t>from providers</w:t>
      </w:r>
      <w:r w:rsidR="00094FD6" w:rsidRPr="00094FD6">
        <w:rPr>
          <w:rFonts w:eastAsia="Times New Roman" w:cstheme="minorHAnsi"/>
          <w:color w:val="000000"/>
        </w:rPr>
        <w:t xml:space="preserve">. </w:t>
      </w:r>
      <w:r w:rsidRPr="00094FD6">
        <w:rPr>
          <w:rFonts w:eastAsia="Times New Roman" w:cstheme="minorHAnsi"/>
          <w:color w:val="000000"/>
        </w:rPr>
        <w:t xml:space="preserve"> </w:t>
      </w:r>
      <w:r w:rsidR="00094FD6" w:rsidRPr="00094FD6">
        <w:rPr>
          <w:rFonts w:eastAsia="Times New Roman" w:cstheme="minorHAnsi"/>
          <w:color w:val="000000"/>
        </w:rPr>
        <w:t xml:space="preserve">At the present time, </w:t>
      </w:r>
      <w:r w:rsidRPr="00094FD6">
        <w:rPr>
          <w:rFonts w:eastAsia="Times New Roman" w:cstheme="minorHAnsi"/>
          <w:color w:val="000000"/>
        </w:rPr>
        <w:t xml:space="preserve">a provider that transacts business with 10 MCOs is required to meet the </w:t>
      </w:r>
      <w:r w:rsidR="00D46449" w:rsidRPr="00094FD6">
        <w:rPr>
          <w:rFonts w:eastAsia="Times New Roman" w:cstheme="minorHAnsi"/>
          <w:color w:val="000000"/>
        </w:rPr>
        <w:t xml:space="preserve">unique </w:t>
      </w:r>
      <w:r w:rsidRPr="00094FD6">
        <w:rPr>
          <w:rFonts w:eastAsia="Times New Roman" w:cstheme="minorHAnsi"/>
          <w:color w:val="000000"/>
        </w:rPr>
        <w:t>paperwork requirements of each insurer</w:t>
      </w:r>
      <w:r w:rsidR="00094FD6" w:rsidRPr="00094FD6">
        <w:rPr>
          <w:rFonts w:eastAsia="Times New Roman" w:cstheme="minorHAnsi"/>
          <w:color w:val="000000"/>
        </w:rPr>
        <w:t>,</w:t>
      </w:r>
      <w:r w:rsidRPr="00094FD6">
        <w:rPr>
          <w:rFonts w:eastAsia="Times New Roman" w:cstheme="minorHAnsi"/>
          <w:color w:val="000000"/>
        </w:rPr>
        <w:t xml:space="preserve"> and the forms are different from insurer to insurer.  </w:t>
      </w:r>
      <w:r w:rsidR="00D46449" w:rsidRPr="00094FD6">
        <w:rPr>
          <w:rFonts w:eastAsia="Times New Roman" w:cstheme="minorHAnsi"/>
          <w:color w:val="000000"/>
        </w:rPr>
        <w:t>Use of s</w:t>
      </w:r>
      <w:r w:rsidRPr="00094FD6">
        <w:rPr>
          <w:rFonts w:eastAsia="Times New Roman" w:cstheme="minorHAnsi"/>
          <w:color w:val="000000"/>
        </w:rPr>
        <w:t xml:space="preserve">tandardized forms should be a minimum requirement for participation in the BH carve in.  </w:t>
      </w:r>
    </w:p>
    <w:p w14:paraId="69B9E05D" w14:textId="0084387E" w:rsidR="00CC5C22" w:rsidRPr="00797D91" w:rsidRDefault="00797D91">
      <w:pPr>
        <w:rPr>
          <w:rFonts w:cstheme="minorHAnsi"/>
          <w:b/>
          <w:bCs/>
          <w:i/>
          <w:iCs/>
        </w:rPr>
      </w:pPr>
      <w:r>
        <w:rPr>
          <w:rFonts w:cstheme="minorHAnsi"/>
          <w:b/>
          <w:bCs/>
          <w:i/>
          <w:iCs/>
        </w:rPr>
        <w:t>November 9</w:t>
      </w:r>
      <w:r w:rsidRPr="00797D91">
        <w:rPr>
          <w:rFonts w:cstheme="minorHAnsi"/>
          <w:b/>
          <w:bCs/>
          <w:i/>
          <w:iCs/>
          <w:vertAlign w:val="superscript"/>
        </w:rPr>
        <w:t>th</w:t>
      </w:r>
      <w:r>
        <w:rPr>
          <w:rFonts w:cstheme="minorHAnsi"/>
          <w:b/>
          <w:bCs/>
          <w:i/>
          <w:iCs/>
        </w:rPr>
        <w:t xml:space="preserve"> Outline of Behavioral Health Concerns related to MCOs</w:t>
      </w:r>
    </w:p>
    <w:p w14:paraId="4B938A76" w14:textId="7633A023" w:rsidR="00CC5C22" w:rsidRPr="00CC5C22" w:rsidRDefault="00CC5C22">
      <w:pPr>
        <w:rPr>
          <w:rFonts w:cstheme="minorHAnsi"/>
        </w:rPr>
      </w:pPr>
    </w:p>
    <w:p w14:paraId="06B99F84"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u w:val="single"/>
        </w:rPr>
        <w:t>Issues with OHIP MC Plan Complaint Process</w:t>
      </w:r>
    </w:p>
    <w:p w14:paraId="1A29319E"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-OHIP changing/adding requirements to file a complaint when providers submit complaints</w:t>
      </w:r>
    </w:p>
    <w:p w14:paraId="396149C0"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-OHIP staff have discouraged complaints calling it a 'last resort' </w:t>
      </w:r>
    </w:p>
    <w:p w14:paraId="64570BF0"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-Process is very onerous for providers with a long list of requirements and information needed to file a complaint</w:t>
      </w:r>
    </w:p>
    <w:p w14:paraId="7A71D113"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-BCS staff lack education re:  BH laws, regs, guidance. </w:t>
      </w:r>
    </w:p>
    <w:p w14:paraId="7B6EAC67"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-Often BCS staff are just sending the plan response to the provider without understanding whether it actually addresses the complaint or not.  OHIP/BCS should not simply see itself as a liaison between plan and provider, OHIP needs to use its regulatory authority to ensure plan compliance and assist providers in this regard.</w:t>
      </w:r>
    </w:p>
    <w:p w14:paraId="5FD8D7D6"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 Complaints are treated as a “one off” and there is no consideration that the issue could be affecting all providers, not just the one that complained.  Plans should be required to address issues that are identified across programs and for all providers, not just for the complainant.</w:t>
      </w:r>
    </w:p>
    <w:p w14:paraId="1CDD26A7"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 </w:t>
      </w:r>
    </w:p>
    <w:p w14:paraId="6B209C72"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u w:val="single"/>
        </w:rPr>
        <w:t>Issues with OHIP Failing to Adequately Oversee MMC in BH</w:t>
      </w:r>
    </w:p>
    <w:p w14:paraId="5D1EC211"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i/>
          <w:iCs/>
          <w:color w:val="000000"/>
        </w:rPr>
        <w:t>General</w:t>
      </w:r>
    </w:p>
    <w:p w14:paraId="0007DB60"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-Multiple years of non-enforcement of BHET requirements</w:t>
      </w:r>
    </w:p>
    <w:p w14:paraId="48779325"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-NYSDOH allows indefinite periods of time for MCOs to "fix" technology and other "glitches" with delays impacting providers and consumers</w:t>
      </w:r>
    </w:p>
    <w:p w14:paraId="2E54BECC"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-Citations fail to yield meaningful and timely fines </w:t>
      </w:r>
    </w:p>
    <w:p w14:paraId="7F7E71C4" w14:textId="77777777" w:rsidR="00322BE7" w:rsidRDefault="00322BE7" w:rsidP="00CC5C22">
      <w:pPr>
        <w:shd w:val="clear" w:color="auto" w:fill="FFFFFF"/>
        <w:rPr>
          <w:rFonts w:eastAsia="Times New Roman" w:cstheme="minorHAnsi"/>
          <w:i/>
          <w:iCs/>
          <w:color w:val="000000"/>
          <w:u w:val="single"/>
        </w:rPr>
      </w:pPr>
    </w:p>
    <w:p w14:paraId="1B7ACD8D" w14:textId="388FCB7E" w:rsidR="00CC5C22" w:rsidRPr="00913D56" w:rsidRDefault="00CC5C22" w:rsidP="00CC5C22">
      <w:pPr>
        <w:shd w:val="clear" w:color="auto" w:fill="FFFFFF"/>
        <w:rPr>
          <w:rFonts w:eastAsia="Times New Roman" w:cstheme="minorHAnsi"/>
          <w:color w:val="222222"/>
          <w:u w:val="single"/>
        </w:rPr>
      </w:pPr>
      <w:r w:rsidRPr="00913D56">
        <w:rPr>
          <w:rFonts w:eastAsia="Times New Roman" w:cstheme="minorHAnsi"/>
          <w:i/>
          <w:iCs/>
          <w:color w:val="000000"/>
          <w:u w:val="single"/>
        </w:rPr>
        <w:t>Network Adequacy</w:t>
      </w:r>
    </w:p>
    <w:p w14:paraId="512C5C9C"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-Plans continue to ask for roster information (lists of their employees) in the name of 'credentialing' at the practitioner level when it is the PROVIDER (Agency) that the plan is responsible to credential.  Plans are supposed to utilize the Agency’s operating certificate to credential.  Asking for employee roster information enables plans to potentially list employees twice, falsely claiming network adequacy.</w:t>
      </w:r>
    </w:p>
    <w:p w14:paraId="2DE9A3F7"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lastRenderedPageBreak/>
        <w:t>-Plan’s ask for rosters under the guise of “program integrity” to check that employees are not on any exclusion lists, but agency’s contractually agree to ensure that all of their employees are licensed appropriately and have not been excluded from any state or federal program.  Agency’s check exclusion lists monthly and are required to retain proof of the checks. </w:t>
      </w:r>
    </w:p>
    <w:p w14:paraId="774405A8"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-NYSDOH failure to surveil and monitor Network Adequacy (PNDS) reports leads to double dipping by plans.</w:t>
      </w:r>
    </w:p>
    <w:p w14:paraId="0799F073" w14:textId="77777777" w:rsidR="00CC5C22" w:rsidRPr="00CC5C22" w:rsidRDefault="00CC5C22" w:rsidP="00CC5C22">
      <w:pPr>
        <w:shd w:val="clear" w:color="auto" w:fill="FFFFFF"/>
        <w:rPr>
          <w:rFonts w:eastAsia="Times New Roman" w:cstheme="minorHAnsi"/>
          <w:color w:val="222222"/>
        </w:rPr>
      </w:pPr>
    </w:p>
    <w:p w14:paraId="37AA2D57" w14:textId="77777777" w:rsidR="00CC5C22" w:rsidRPr="00913D56" w:rsidRDefault="00CC5C22" w:rsidP="00CC5C22">
      <w:pPr>
        <w:shd w:val="clear" w:color="auto" w:fill="FFFFFF"/>
        <w:rPr>
          <w:rFonts w:eastAsia="Times New Roman" w:cstheme="minorHAnsi"/>
          <w:color w:val="222222"/>
          <w:u w:val="single"/>
        </w:rPr>
      </w:pPr>
      <w:r w:rsidRPr="00913D56">
        <w:rPr>
          <w:rFonts w:eastAsia="Times New Roman" w:cstheme="minorHAnsi"/>
          <w:i/>
          <w:iCs/>
          <w:color w:val="000000"/>
          <w:u w:val="single"/>
        </w:rPr>
        <w:t>Inadequate Staffing in MMC Plans</w:t>
      </w:r>
    </w:p>
    <w:p w14:paraId="169A39FA"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-Inadequate staffing at MCOs results in little to no customer service although plans are being paid to provide 'technical assistance' to providers as part of PMPM fee</w:t>
      </w:r>
    </w:p>
    <w:p w14:paraId="35AED75B" w14:textId="77777777" w:rsidR="00CC5C22" w:rsidRPr="00CC5C22" w:rsidRDefault="00CC5C22" w:rsidP="00CC5C22">
      <w:pPr>
        <w:shd w:val="clear" w:color="auto" w:fill="FFFFFF"/>
        <w:rPr>
          <w:rFonts w:eastAsia="Times New Roman" w:cstheme="minorHAnsi"/>
          <w:color w:val="222222"/>
        </w:rPr>
      </w:pPr>
    </w:p>
    <w:p w14:paraId="0F8885FE" w14:textId="77777777" w:rsidR="00CC5C22" w:rsidRPr="00913D56" w:rsidRDefault="00CC5C22" w:rsidP="00CC5C22">
      <w:pPr>
        <w:shd w:val="clear" w:color="auto" w:fill="FFFFFF"/>
        <w:rPr>
          <w:rFonts w:eastAsia="Times New Roman" w:cstheme="minorHAnsi"/>
          <w:color w:val="222222"/>
          <w:u w:val="single"/>
        </w:rPr>
      </w:pPr>
      <w:r w:rsidRPr="00913D56">
        <w:rPr>
          <w:rFonts w:eastAsia="Times New Roman" w:cstheme="minorHAnsi"/>
          <w:i/>
          <w:iCs/>
          <w:color w:val="000000"/>
          <w:u w:val="single"/>
        </w:rPr>
        <w:t>Lack of Compliance with Administrative Simplification </w:t>
      </w:r>
    </w:p>
    <w:p w14:paraId="03892324"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-State continues to allow plans to require paper EOBs when CMS Administrative Simplification requires plan to transact electronically if provider wants to do so</w:t>
      </w:r>
    </w:p>
    <w:p w14:paraId="3F15C297"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-State has failed to require MCOs to use universal documents that would ease provider burden and streamline decision-making for example, universal credentialing form</w:t>
      </w:r>
    </w:p>
    <w:p w14:paraId="40D702A2" w14:textId="77777777" w:rsidR="00CC5C22" w:rsidRPr="00CC5C22" w:rsidRDefault="00CC5C22" w:rsidP="00CC5C22">
      <w:pPr>
        <w:shd w:val="clear" w:color="auto" w:fill="FFFFFF"/>
        <w:rPr>
          <w:rFonts w:eastAsia="Times New Roman" w:cstheme="minorHAnsi"/>
          <w:color w:val="222222"/>
        </w:rPr>
      </w:pPr>
    </w:p>
    <w:p w14:paraId="138CCA49" w14:textId="77777777" w:rsidR="00CC5C22" w:rsidRPr="00913D56" w:rsidRDefault="00CC5C22" w:rsidP="00CC5C22">
      <w:pPr>
        <w:shd w:val="clear" w:color="auto" w:fill="FFFFFF"/>
        <w:rPr>
          <w:rFonts w:eastAsia="Times New Roman" w:cstheme="minorHAnsi"/>
          <w:color w:val="222222"/>
          <w:u w:val="single"/>
        </w:rPr>
      </w:pPr>
      <w:r w:rsidRPr="00913D56">
        <w:rPr>
          <w:rFonts w:eastAsia="Times New Roman" w:cstheme="minorHAnsi"/>
          <w:i/>
          <w:iCs/>
          <w:color w:val="000000"/>
          <w:u w:val="single"/>
        </w:rPr>
        <w:t>Insufficient Oversight of Denial Reports</w:t>
      </w:r>
    </w:p>
    <w:p w14:paraId="1B39064C" w14:textId="081EBD88"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 xml:space="preserve">-State oversight of denial reports is insufficient to monitor if plans are paying claims timely and in full.  Plans routinely deny claims using denial reason codes that do not reflect the actual reason the claim is denied.  For example, a plan will deny a claim saying that the provider did not obtain an authorization, however, the actual reason for the denial is that plan has a systemic problem that views the provider as being out of network.  On a claims report to the state, this appears to be a provider problem – they didn’t get authorization – but it is a plan problem.  This is not a </w:t>
      </w:r>
      <w:r w:rsidR="00797D91" w:rsidRPr="00CC5C22">
        <w:rPr>
          <w:rFonts w:eastAsia="Times New Roman" w:cstheme="minorHAnsi"/>
          <w:color w:val="000000"/>
        </w:rPr>
        <w:t>hypothetical;</w:t>
      </w:r>
      <w:r w:rsidRPr="00CC5C22">
        <w:rPr>
          <w:rFonts w:eastAsia="Times New Roman" w:cstheme="minorHAnsi"/>
          <w:color w:val="000000"/>
        </w:rPr>
        <w:t xml:space="preserve"> this is actually happening now with at least one plan.</w:t>
      </w:r>
      <w:r w:rsidRPr="00CC5C22">
        <w:rPr>
          <w:rFonts w:eastAsia="Times New Roman" w:cstheme="minorHAnsi"/>
          <w:color w:val="222222"/>
        </w:rPr>
        <w:t> </w:t>
      </w:r>
    </w:p>
    <w:p w14:paraId="75B358CA" w14:textId="77777777" w:rsidR="00CC5C22" w:rsidRPr="00CC5C22" w:rsidRDefault="00CC5C22" w:rsidP="00CC5C22">
      <w:pPr>
        <w:shd w:val="clear" w:color="auto" w:fill="FFFFFF"/>
        <w:rPr>
          <w:rFonts w:eastAsia="Times New Roman" w:cstheme="minorHAnsi"/>
          <w:color w:val="222222"/>
        </w:rPr>
      </w:pPr>
    </w:p>
    <w:p w14:paraId="7C622CA6" w14:textId="77777777" w:rsidR="00CC5C22" w:rsidRPr="00913D56" w:rsidRDefault="00CC5C22" w:rsidP="00CC5C22">
      <w:pPr>
        <w:shd w:val="clear" w:color="auto" w:fill="FFFFFF"/>
        <w:rPr>
          <w:rFonts w:eastAsia="Times New Roman" w:cstheme="minorHAnsi"/>
          <w:color w:val="222222"/>
          <w:u w:val="single"/>
        </w:rPr>
      </w:pPr>
      <w:r w:rsidRPr="00913D56">
        <w:rPr>
          <w:rFonts w:eastAsia="Times New Roman" w:cstheme="minorHAnsi"/>
          <w:i/>
          <w:iCs/>
          <w:color w:val="000000"/>
          <w:u w:val="single"/>
        </w:rPr>
        <w:t>Default Enrollment Issues</w:t>
      </w:r>
    </w:p>
    <w:p w14:paraId="5D57D277"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 State is allowing plans to default enroll individuals under the Integrated Benefits for Duals program, however there is no readiness review to ensure that they are able to pay claims correctly.  For example, the ongoing issues with Fidelis that has resulted in several complaints. </w:t>
      </w:r>
    </w:p>
    <w:p w14:paraId="0D320A4E" w14:textId="77777777"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222222"/>
        </w:rPr>
        <w:t> </w:t>
      </w:r>
    </w:p>
    <w:p w14:paraId="58A488DC" w14:textId="02BF1453" w:rsidR="00CC5C22" w:rsidRPr="00913D56" w:rsidRDefault="00CC5C22" w:rsidP="00CC5C22">
      <w:pPr>
        <w:shd w:val="clear" w:color="auto" w:fill="FFFFFF"/>
        <w:rPr>
          <w:rFonts w:eastAsia="Times New Roman" w:cstheme="minorHAnsi"/>
          <w:color w:val="222222"/>
          <w:u w:val="single"/>
        </w:rPr>
      </w:pPr>
      <w:r w:rsidRPr="00913D56">
        <w:rPr>
          <w:rFonts w:eastAsia="Times New Roman" w:cstheme="minorHAnsi"/>
          <w:i/>
          <w:iCs/>
          <w:color w:val="000000"/>
          <w:u w:val="single"/>
        </w:rPr>
        <w:t>Lack of Timely Payment</w:t>
      </w:r>
      <w:r w:rsidRPr="00913D56">
        <w:rPr>
          <w:rFonts w:eastAsia="Times New Roman" w:cstheme="minorHAnsi"/>
          <w:color w:val="000000"/>
          <w:u w:val="single"/>
        </w:rPr>
        <w:t> </w:t>
      </w:r>
    </w:p>
    <w:p w14:paraId="3B233797" w14:textId="4CE1A45F" w:rsidR="00CC5C22" w:rsidRPr="00CC5C22" w:rsidRDefault="00CC5C22" w:rsidP="00CC5C22">
      <w:pPr>
        <w:shd w:val="clear" w:color="auto" w:fill="FFFFFF"/>
        <w:rPr>
          <w:rFonts w:eastAsia="Times New Roman" w:cstheme="minorHAnsi"/>
          <w:color w:val="222222"/>
        </w:rPr>
      </w:pPr>
      <w:r w:rsidRPr="00CC5C22">
        <w:rPr>
          <w:rFonts w:eastAsia="Times New Roman" w:cstheme="minorHAnsi"/>
          <w:color w:val="000000"/>
        </w:rPr>
        <w:t>- The NYS Council administered a survey to its members re:  MMC plan timely payment, and full payment of APGs - the results are very troubling.  The amounts of money owed to providers while insurers sit on these dollars are significant - $50,000, $100,000, $125,000, $150,000 etc.  In these instances, the most frequent response to the question re: how long they have been waiting for payment from the plan, is over 9 months.  </w:t>
      </w:r>
    </w:p>
    <w:p w14:paraId="51186343" w14:textId="77777777" w:rsidR="00CC5C22" w:rsidRPr="00CC5C22" w:rsidRDefault="00CC5C22" w:rsidP="00CC5C22">
      <w:pPr>
        <w:rPr>
          <w:rFonts w:ascii="Times New Roman" w:eastAsia="Times New Roman" w:hAnsi="Times New Roman" w:cs="Times New Roman"/>
        </w:rPr>
      </w:pPr>
    </w:p>
    <w:p w14:paraId="359365A9" w14:textId="2F44CD20" w:rsidR="00CC5C22" w:rsidRDefault="003B736A">
      <w:r>
        <w:t>Thank you for your consideration of our recommendations for reforming the behavioral health Medicaid Managed Care program, along with the concerns and issues our member agencies are facing across the State with MCOs.  We are looking forward to continued discussions with you and your team in this regard.</w:t>
      </w:r>
    </w:p>
    <w:sectPr w:rsidR="00CC5C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6C6F6" w14:textId="77777777" w:rsidR="00111FC9" w:rsidRDefault="00111FC9" w:rsidP="00094FD6">
      <w:r>
        <w:separator/>
      </w:r>
    </w:p>
  </w:endnote>
  <w:endnote w:type="continuationSeparator" w:id="0">
    <w:p w14:paraId="45C4AEA4" w14:textId="77777777" w:rsidR="00111FC9" w:rsidRDefault="00111FC9" w:rsidP="0009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0051254"/>
      <w:docPartObj>
        <w:docPartGallery w:val="Page Numbers (Bottom of Page)"/>
        <w:docPartUnique/>
      </w:docPartObj>
    </w:sdtPr>
    <w:sdtEndPr>
      <w:rPr>
        <w:rStyle w:val="PageNumber"/>
      </w:rPr>
    </w:sdtEndPr>
    <w:sdtContent>
      <w:p w14:paraId="62C6EF4A" w14:textId="41D11755" w:rsidR="00094FD6" w:rsidRDefault="00094FD6" w:rsidP="00B64A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7006F0" w14:textId="77777777" w:rsidR="00094FD6" w:rsidRDefault="00094FD6" w:rsidP="00094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0353478"/>
      <w:docPartObj>
        <w:docPartGallery w:val="Page Numbers (Bottom of Page)"/>
        <w:docPartUnique/>
      </w:docPartObj>
    </w:sdtPr>
    <w:sdtEndPr>
      <w:rPr>
        <w:rStyle w:val="PageNumber"/>
      </w:rPr>
    </w:sdtEndPr>
    <w:sdtContent>
      <w:p w14:paraId="590461A2" w14:textId="60CF0203" w:rsidR="00094FD6" w:rsidRDefault="00094FD6" w:rsidP="00B64A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2B9BCA" w14:textId="77777777" w:rsidR="00094FD6" w:rsidRDefault="00094FD6" w:rsidP="00094F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BA75" w14:textId="77777777" w:rsidR="00565839" w:rsidRDefault="0056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4B5ED" w14:textId="77777777" w:rsidR="00111FC9" w:rsidRDefault="00111FC9" w:rsidP="00094FD6">
      <w:r>
        <w:separator/>
      </w:r>
    </w:p>
  </w:footnote>
  <w:footnote w:type="continuationSeparator" w:id="0">
    <w:p w14:paraId="0BEBF5D8" w14:textId="77777777" w:rsidR="00111FC9" w:rsidRDefault="00111FC9" w:rsidP="00094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1BAB" w14:textId="12A37CB8" w:rsidR="00565839" w:rsidRDefault="00565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72A0" w14:textId="24F455D8" w:rsidR="00565839" w:rsidRDefault="00565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738B" w14:textId="32341201" w:rsidR="00565839" w:rsidRDefault="0056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65BB"/>
    <w:multiLevelType w:val="multilevel"/>
    <w:tmpl w:val="215A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A28AE"/>
    <w:multiLevelType w:val="multilevel"/>
    <w:tmpl w:val="9EA2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5A"/>
    <w:rsid w:val="00094FD6"/>
    <w:rsid w:val="000962E6"/>
    <w:rsid w:val="00111FC9"/>
    <w:rsid w:val="001176CC"/>
    <w:rsid w:val="00275929"/>
    <w:rsid w:val="00322BE7"/>
    <w:rsid w:val="003B736A"/>
    <w:rsid w:val="00565839"/>
    <w:rsid w:val="00797D91"/>
    <w:rsid w:val="00913D56"/>
    <w:rsid w:val="00A33241"/>
    <w:rsid w:val="00B61C1C"/>
    <w:rsid w:val="00BB415A"/>
    <w:rsid w:val="00CC5C22"/>
    <w:rsid w:val="00D33443"/>
    <w:rsid w:val="00D4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2B8C"/>
  <w15:chartTrackingRefBased/>
  <w15:docId w15:val="{3B60E31F-4839-6F44-BF1D-4E7C84E3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1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B415A"/>
    <w:rPr>
      <w:color w:val="0000FF"/>
      <w:u w:val="single"/>
    </w:rPr>
  </w:style>
  <w:style w:type="paragraph" w:styleId="Footer">
    <w:name w:val="footer"/>
    <w:basedOn w:val="Normal"/>
    <w:link w:val="FooterChar"/>
    <w:uiPriority w:val="99"/>
    <w:unhideWhenUsed/>
    <w:rsid w:val="00094FD6"/>
    <w:pPr>
      <w:tabs>
        <w:tab w:val="center" w:pos="4680"/>
        <w:tab w:val="right" w:pos="9360"/>
      </w:tabs>
    </w:pPr>
  </w:style>
  <w:style w:type="character" w:customStyle="1" w:styleId="FooterChar">
    <w:name w:val="Footer Char"/>
    <w:basedOn w:val="DefaultParagraphFont"/>
    <w:link w:val="Footer"/>
    <w:uiPriority w:val="99"/>
    <w:rsid w:val="00094FD6"/>
  </w:style>
  <w:style w:type="character" w:styleId="PageNumber">
    <w:name w:val="page number"/>
    <w:basedOn w:val="DefaultParagraphFont"/>
    <w:uiPriority w:val="99"/>
    <w:semiHidden/>
    <w:unhideWhenUsed/>
    <w:rsid w:val="00094FD6"/>
  </w:style>
  <w:style w:type="paragraph" w:styleId="Header">
    <w:name w:val="header"/>
    <w:basedOn w:val="Normal"/>
    <w:link w:val="HeaderChar"/>
    <w:uiPriority w:val="99"/>
    <w:unhideWhenUsed/>
    <w:rsid w:val="00565839"/>
    <w:pPr>
      <w:tabs>
        <w:tab w:val="center" w:pos="4680"/>
        <w:tab w:val="right" w:pos="9360"/>
      </w:tabs>
    </w:pPr>
  </w:style>
  <w:style w:type="character" w:customStyle="1" w:styleId="HeaderChar">
    <w:name w:val="Header Char"/>
    <w:basedOn w:val="DefaultParagraphFont"/>
    <w:link w:val="Header"/>
    <w:uiPriority w:val="99"/>
    <w:rsid w:val="0056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88768">
      <w:bodyDiv w:val="1"/>
      <w:marLeft w:val="0"/>
      <w:marRight w:val="0"/>
      <w:marTop w:val="0"/>
      <w:marBottom w:val="0"/>
      <w:divBdr>
        <w:top w:val="none" w:sz="0" w:space="0" w:color="auto"/>
        <w:left w:val="none" w:sz="0" w:space="0" w:color="auto"/>
        <w:bottom w:val="none" w:sz="0" w:space="0" w:color="auto"/>
        <w:right w:val="none" w:sz="0" w:space="0" w:color="auto"/>
      </w:divBdr>
      <w:divsChild>
        <w:div w:id="225145523">
          <w:marLeft w:val="0"/>
          <w:marRight w:val="0"/>
          <w:marTop w:val="0"/>
          <w:marBottom w:val="0"/>
          <w:divBdr>
            <w:top w:val="none" w:sz="0" w:space="0" w:color="auto"/>
            <w:left w:val="none" w:sz="0" w:space="0" w:color="auto"/>
            <w:bottom w:val="none" w:sz="0" w:space="0" w:color="auto"/>
            <w:right w:val="none" w:sz="0" w:space="0" w:color="auto"/>
          </w:divBdr>
        </w:div>
        <w:div w:id="1467813538">
          <w:marLeft w:val="0"/>
          <w:marRight w:val="0"/>
          <w:marTop w:val="0"/>
          <w:marBottom w:val="0"/>
          <w:divBdr>
            <w:top w:val="none" w:sz="0" w:space="0" w:color="auto"/>
            <w:left w:val="none" w:sz="0" w:space="0" w:color="auto"/>
            <w:bottom w:val="none" w:sz="0" w:space="0" w:color="auto"/>
            <w:right w:val="none" w:sz="0" w:space="0" w:color="auto"/>
          </w:divBdr>
        </w:div>
        <w:div w:id="1779330491">
          <w:marLeft w:val="0"/>
          <w:marRight w:val="0"/>
          <w:marTop w:val="0"/>
          <w:marBottom w:val="0"/>
          <w:divBdr>
            <w:top w:val="none" w:sz="0" w:space="0" w:color="auto"/>
            <w:left w:val="none" w:sz="0" w:space="0" w:color="auto"/>
            <w:bottom w:val="none" w:sz="0" w:space="0" w:color="auto"/>
            <w:right w:val="none" w:sz="0" w:space="0" w:color="auto"/>
          </w:divBdr>
          <w:divsChild>
            <w:div w:id="1663973227">
              <w:marLeft w:val="0"/>
              <w:marRight w:val="0"/>
              <w:marTop w:val="0"/>
              <w:marBottom w:val="0"/>
              <w:divBdr>
                <w:top w:val="none" w:sz="0" w:space="0" w:color="auto"/>
                <w:left w:val="none" w:sz="0" w:space="0" w:color="auto"/>
                <w:bottom w:val="none" w:sz="0" w:space="0" w:color="auto"/>
                <w:right w:val="none" w:sz="0" w:space="0" w:color="auto"/>
              </w:divBdr>
            </w:div>
            <w:div w:id="1817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628">
      <w:bodyDiv w:val="1"/>
      <w:marLeft w:val="0"/>
      <w:marRight w:val="0"/>
      <w:marTop w:val="0"/>
      <w:marBottom w:val="0"/>
      <w:divBdr>
        <w:top w:val="none" w:sz="0" w:space="0" w:color="auto"/>
        <w:left w:val="none" w:sz="0" w:space="0" w:color="auto"/>
        <w:bottom w:val="none" w:sz="0" w:space="0" w:color="auto"/>
        <w:right w:val="none" w:sz="0" w:space="0" w:color="auto"/>
      </w:divBdr>
      <w:divsChild>
        <w:div w:id="17178990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2753215">
              <w:marLeft w:val="0"/>
              <w:marRight w:val="0"/>
              <w:marTop w:val="0"/>
              <w:marBottom w:val="0"/>
              <w:divBdr>
                <w:top w:val="none" w:sz="0" w:space="0" w:color="auto"/>
                <w:left w:val="none" w:sz="0" w:space="0" w:color="auto"/>
                <w:bottom w:val="none" w:sz="0" w:space="0" w:color="auto"/>
                <w:right w:val="none" w:sz="0" w:space="0" w:color="auto"/>
              </w:divBdr>
              <w:divsChild>
                <w:div w:id="1526750093">
                  <w:marLeft w:val="0"/>
                  <w:marRight w:val="0"/>
                  <w:marTop w:val="0"/>
                  <w:marBottom w:val="0"/>
                  <w:divBdr>
                    <w:top w:val="none" w:sz="0" w:space="0" w:color="auto"/>
                    <w:left w:val="none" w:sz="0" w:space="0" w:color="auto"/>
                    <w:bottom w:val="none" w:sz="0" w:space="0" w:color="auto"/>
                    <w:right w:val="none" w:sz="0" w:space="0" w:color="auto"/>
                  </w:divBdr>
                </w:div>
                <w:div w:id="1506625055">
                  <w:marLeft w:val="0"/>
                  <w:marRight w:val="0"/>
                  <w:marTop w:val="0"/>
                  <w:marBottom w:val="0"/>
                  <w:divBdr>
                    <w:top w:val="none" w:sz="0" w:space="0" w:color="auto"/>
                    <w:left w:val="none" w:sz="0" w:space="0" w:color="auto"/>
                    <w:bottom w:val="none" w:sz="0" w:space="0" w:color="auto"/>
                    <w:right w:val="none" w:sz="0" w:space="0" w:color="auto"/>
                  </w:divBdr>
                </w:div>
                <w:div w:id="812140603">
                  <w:marLeft w:val="0"/>
                  <w:marRight w:val="0"/>
                  <w:marTop w:val="0"/>
                  <w:marBottom w:val="0"/>
                  <w:divBdr>
                    <w:top w:val="none" w:sz="0" w:space="0" w:color="auto"/>
                    <w:left w:val="none" w:sz="0" w:space="0" w:color="auto"/>
                    <w:bottom w:val="none" w:sz="0" w:space="0" w:color="auto"/>
                    <w:right w:val="none" w:sz="0" w:space="0" w:color="auto"/>
                  </w:divBdr>
                </w:div>
                <w:div w:id="577404319">
                  <w:marLeft w:val="0"/>
                  <w:marRight w:val="0"/>
                  <w:marTop w:val="0"/>
                  <w:marBottom w:val="0"/>
                  <w:divBdr>
                    <w:top w:val="none" w:sz="0" w:space="0" w:color="auto"/>
                    <w:left w:val="none" w:sz="0" w:space="0" w:color="auto"/>
                    <w:bottom w:val="none" w:sz="0" w:space="0" w:color="auto"/>
                    <w:right w:val="none" w:sz="0" w:space="0" w:color="auto"/>
                  </w:divBdr>
                </w:div>
                <w:div w:id="1717662926">
                  <w:marLeft w:val="0"/>
                  <w:marRight w:val="0"/>
                  <w:marTop w:val="0"/>
                  <w:marBottom w:val="0"/>
                  <w:divBdr>
                    <w:top w:val="none" w:sz="0" w:space="0" w:color="auto"/>
                    <w:left w:val="none" w:sz="0" w:space="0" w:color="auto"/>
                    <w:bottom w:val="none" w:sz="0" w:space="0" w:color="auto"/>
                    <w:right w:val="none" w:sz="0" w:space="0" w:color="auto"/>
                  </w:divBdr>
                </w:div>
                <w:div w:id="748506162">
                  <w:marLeft w:val="0"/>
                  <w:marRight w:val="0"/>
                  <w:marTop w:val="0"/>
                  <w:marBottom w:val="0"/>
                  <w:divBdr>
                    <w:top w:val="none" w:sz="0" w:space="0" w:color="auto"/>
                    <w:left w:val="none" w:sz="0" w:space="0" w:color="auto"/>
                    <w:bottom w:val="none" w:sz="0" w:space="0" w:color="auto"/>
                    <w:right w:val="none" w:sz="0" w:space="0" w:color="auto"/>
                  </w:divBdr>
                </w:div>
                <w:div w:id="675034592">
                  <w:marLeft w:val="0"/>
                  <w:marRight w:val="0"/>
                  <w:marTop w:val="0"/>
                  <w:marBottom w:val="0"/>
                  <w:divBdr>
                    <w:top w:val="none" w:sz="0" w:space="0" w:color="auto"/>
                    <w:left w:val="none" w:sz="0" w:space="0" w:color="auto"/>
                    <w:bottom w:val="none" w:sz="0" w:space="0" w:color="auto"/>
                    <w:right w:val="none" w:sz="0" w:space="0" w:color="auto"/>
                  </w:divBdr>
                </w:div>
                <w:div w:id="1690528220">
                  <w:marLeft w:val="0"/>
                  <w:marRight w:val="0"/>
                  <w:marTop w:val="0"/>
                  <w:marBottom w:val="0"/>
                  <w:divBdr>
                    <w:top w:val="none" w:sz="0" w:space="0" w:color="auto"/>
                    <w:left w:val="none" w:sz="0" w:space="0" w:color="auto"/>
                    <w:bottom w:val="none" w:sz="0" w:space="0" w:color="auto"/>
                    <w:right w:val="none" w:sz="0" w:space="0" w:color="auto"/>
                  </w:divBdr>
                </w:div>
                <w:div w:id="1117602665">
                  <w:marLeft w:val="0"/>
                  <w:marRight w:val="0"/>
                  <w:marTop w:val="0"/>
                  <w:marBottom w:val="0"/>
                  <w:divBdr>
                    <w:top w:val="none" w:sz="0" w:space="0" w:color="auto"/>
                    <w:left w:val="none" w:sz="0" w:space="0" w:color="auto"/>
                    <w:bottom w:val="none" w:sz="0" w:space="0" w:color="auto"/>
                    <w:right w:val="none" w:sz="0" w:space="0" w:color="auto"/>
                  </w:divBdr>
                </w:div>
                <w:div w:id="1005011188">
                  <w:marLeft w:val="0"/>
                  <w:marRight w:val="0"/>
                  <w:marTop w:val="0"/>
                  <w:marBottom w:val="0"/>
                  <w:divBdr>
                    <w:top w:val="none" w:sz="0" w:space="0" w:color="auto"/>
                    <w:left w:val="none" w:sz="0" w:space="0" w:color="auto"/>
                    <w:bottom w:val="none" w:sz="0" w:space="0" w:color="auto"/>
                    <w:right w:val="none" w:sz="0" w:space="0" w:color="auto"/>
                  </w:divBdr>
                </w:div>
                <w:div w:id="1707755420">
                  <w:marLeft w:val="0"/>
                  <w:marRight w:val="0"/>
                  <w:marTop w:val="0"/>
                  <w:marBottom w:val="0"/>
                  <w:divBdr>
                    <w:top w:val="none" w:sz="0" w:space="0" w:color="auto"/>
                    <w:left w:val="none" w:sz="0" w:space="0" w:color="auto"/>
                    <w:bottom w:val="none" w:sz="0" w:space="0" w:color="auto"/>
                    <w:right w:val="none" w:sz="0" w:space="0" w:color="auto"/>
                  </w:divBdr>
                </w:div>
                <w:div w:id="1044523037">
                  <w:marLeft w:val="0"/>
                  <w:marRight w:val="0"/>
                  <w:marTop w:val="0"/>
                  <w:marBottom w:val="0"/>
                  <w:divBdr>
                    <w:top w:val="none" w:sz="0" w:space="0" w:color="auto"/>
                    <w:left w:val="none" w:sz="0" w:space="0" w:color="auto"/>
                    <w:bottom w:val="none" w:sz="0" w:space="0" w:color="auto"/>
                    <w:right w:val="none" w:sz="0" w:space="0" w:color="auto"/>
                  </w:divBdr>
                </w:div>
                <w:div w:id="1842433190">
                  <w:marLeft w:val="0"/>
                  <w:marRight w:val="0"/>
                  <w:marTop w:val="0"/>
                  <w:marBottom w:val="0"/>
                  <w:divBdr>
                    <w:top w:val="none" w:sz="0" w:space="0" w:color="auto"/>
                    <w:left w:val="none" w:sz="0" w:space="0" w:color="auto"/>
                    <w:bottom w:val="none" w:sz="0" w:space="0" w:color="auto"/>
                    <w:right w:val="none" w:sz="0" w:space="0" w:color="auto"/>
                  </w:divBdr>
                </w:div>
                <w:div w:id="1934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30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3493147">
              <w:marLeft w:val="0"/>
              <w:marRight w:val="0"/>
              <w:marTop w:val="0"/>
              <w:marBottom w:val="0"/>
              <w:divBdr>
                <w:top w:val="none" w:sz="0" w:space="0" w:color="auto"/>
                <w:left w:val="none" w:sz="0" w:space="0" w:color="auto"/>
                <w:bottom w:val="none" w:sz="0" w:space="0" w:color="auto"/>
                <w:right w:val="none" w:sz="0" w:space="0" w:color="auto"/>
              </w:divBdr>
              <w:divsChild>
                <w:div w:id="16643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1557">
          <w:marLeft w:val="0"/>
          <w:marRight w:val="0"/>
          <w:marTop w:val="0"/>
          <w:marBottom w:val="0"/>
          <w:divBdr>
            <w:top w:val="none" w:sz="0" w:space="0" w:color="auto"/>
            <w:left w:val="none" w:sz="0" w:space="0" w:color="auto"/>
            <w:bottom w:val="none" w:sz="0" w:space="0" w:color="auto"/>
            <w:right w:val="none" w:sz="0" w:space="0" w:color="auto"/>
          </w:divBdr>
        </w:div>
        <w:div w:id="1191920541">
          <w:marLeft w:val="0"/>
          <w:marRight w:val="0"/>
          <w:marTop w:val="0"/>
          <w:marBottom w:val="0"/>
          <w:divBdr>
            <w:top w:val="none" w:sz="0" w:space="0" w:color="auto"/>
            <w:left w:val="none" w:sz="0" w:space="0" w:color="auto"/>
            <w:bottom w:val="none" w:sz="0" w:space="0" w:color="auto"/>
            <w:right w:val="none" w:sz="0" w:space="0" w:color="auto"/>
          </w:divBdr>
        </w:div>
        <w:div w:id="55009095">
          <w:marLeft w:val="0"/>
          <w:marRight w:val="0"/>
          <w:marTop w:val="0"/>
          <w:marBottom w:val="0"/>
          <w:divBdr>
            <w:top w:val="none" w:sz="0" w:space="0" w:color="auto"/>
            <w:left w:val="none" w:sz="0" w:space="0" w:color="auto"/>
            <w:bottom w:val="none" w:sz="0" w:space="0" w:color="auto"/>
            <w:right w:val="none" w:sz="0" w:space="0" w:color="auto"/>
          </w:divBdr>
        </w:div>
        <w:div w:id="146928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11.safelinks.protection.outlook.com/?url=https%3A%2F%2Fwww.azahcccs.gov%2FResources%2FOversightOfHealthPlans%2FOpReviews.html&amp;data=05%7C01%7Cdnovy%40cbcare.org%7C4d80b860819c46d5b02108daccda9bff%7C566ec174c03c45ec89c2acb165a8ce4c%7C1%7C0%7C638047536534481852%7CUnknown%7CTWFpbGZsb3d8eyJWIjoiMC4wLjAwMDAiLCJQIjoiV2luMzIiLCJBTiI6Ik1haWwiLCJXVCI6Mn0%3D%7C3000%7C%7C%7C&amp;sdata=f8FaZrUBvbPnPodqRvCZYVlvEe%2FtwzdL7ZoySGtt6GA%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B0841-B8A6-2C4C-A56A-FC011B60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Savage</dc:creator>
  <cp:keywords/>
  <dc:description/>
  <cp:lastModifiedBy>lauri cole</cp:lastModifiedBy>
  <cp:revision>2</cp:revision>
  <dcterms:created xsi:type="dcterms:W3CDTF">2022-12-01T21:22:00Z</dcterms:created>
  <dcterms:modified xsi:type="dcterms:W3CDTF">2022-12-01T21:22:00Z</dcterms:modified>
</cp:coreProperties>
</file>