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9A68D" w14:textId="75BE649D" w:rsidR="0079358C" w:rsidRPr="00E034AC" w:rsidRDefault="0079358C" w:rsidP="0079358C">
      <w:pPr>
        <w:rPr>
          <w:b/>
          <w:bCs/>
        </w:rPr>
      </w:pPr>
      <w:r w:rsidRPr="00E034AC">
        <w:rPr>
          <w:b/>
          <w:bCs/>
        </w:rPr>
        <w:t>New York</w:t>
      </w:r>
      <w:r w:rsidR="00AC7AD7" w:rsidRPr="00E034AC">
        <w:rPr>
          <w:b/>
          <w:bCs/>
        </w:rPr>
        <w:t xml:space="preserve">ers with substance use and mental health disorders have experienced disparities in access to </w:t>
      </w:r>
      <w:r w:rsidRPr="00E034AC">
        <w:rPr>
          <w:b/>
          <w:bCs/>
        </w:rPr>
        <w:t>behavioral health (BH)</w:t>
      </w:r>
      <w:r w:rsidR="00AC7AD7" w:rsidRPr="00E034AC">
        <w:rPr>
          <w:b/>
          <w:bCs/>
        </w:rPr>
        <w:t xml:space="preserve"> </w:t>
      </w:r>
      <w:r w:rsidR="000F741C" w:rsidRPr="00E034AC">
        <w:rPr>
          <w:b/>
          <w:bCs/>
        </w:rPr>
        <w:t>clinic treatment services</w:t>
      </w:r>
      <w:r w:rsidR="00AC7AD7" w:rsidRPr="00E034AC">
        <w:rPr>
          <w:b/>
          <w:bCs/>
        </w:rPr>
        <w:t xml:space="preserve"> and in health status because New York’s Medicaid program has failed to provide </w:t>
      </w:r>
      <w:r w:rsidR="000F741C" w:rsidRPr="00E034AC">
        <w:rPr>
          <w:b/>
          <w:bCs/>
        </w:rPr>
        <w:t xml:space="preserve">access to </w:t>
      </w:r>
      <w:r w:rsidR="00AC7AD7" w:rsidRPr="00E034AC">
        <w:rPr>
          <w:b/>
          <w:bCs/>
        </w:rPr>
        <w:t xml:space="preserve">BH services with rates that support the cost of </w:t>
      </w:r>
      <w:r w:rsidR="000F741C" w:rsidRPr="00E034AC">
        <w:rPr>
          <w:b/>
          <w:bCs/>
        </w:rPr>
        <w:t>providing high quality care</w:t>
      </w:r>
      <w:r w:rsidR="00AC7AD7" w:rsidRPr="00E034AC">
        <w:rPr>
          <w:b/>
          <w:bCs/>
        </w:rPr>
        <w:t xml:space="preserve">. Black, Indigenous, People of Color and </w:t>
      </w:r>
      <w:r w:rsidR="000F741C" w:rsidRPr="00E034AC">
        <w:rPr>
          <w:b/>
          <w:bCs/>
        </w:rPr>
        <w:t xml:space="preserve">other </w:t>
      </w:r>
      <w:r w:rsidR="00AC7AD7" w:rsidRPr="00E034AC">
        <w:rPr>
          <w:b/>
          <w:bCs/>
        </w:rPr>
        <w:t xml:space="preserve">underserved communities </w:t>
      </w:r>
      <w:r w:rsidR="00A90EAA" w:rsidRPr="00E034AC">
        <w:rPr>
          <w:b/>
          <w:bCs/>
        </w:rPr>
        <w:t xml:space="preserve">have been disproportionately impacted by the </w:t>
      </w:r>
      <w:r w:rsidRPr="00E034AC">
        <w:rPr>
          <w:b/>
          <w:bCs/>
        </w:rPr>
        <w:t>growing inequit</w:t>
      </w:r>
      <w:r w:rsidR="00EF1498" w:rsidRPr="00E034AC">
        <w:rPr>
          <w:b/>
          <w:bCs/>
        </w:rPr>
        <w:t>ies</w:t>
      </w:r>
      <w:r w:rsidRPr="00E034AC">
        <w:rPr>
          <w:b/>
          <w:bCs/>
        </w:rPr>
        <w:t xml:space="preserve"> in </w:t>
      </w:r>
      <w:r w:rsidR="00984CA7" w:rsidRPr="00E034AC">
        <w:rPr>
          <w:b/>
          <w:bCs/>
        </w:rPr>
        <w:t>our</w:t>
      </w:r>
      <w:r w:rsidRPr="00E034AC">
        <w:rPr>
          <w:b/>
          <w:bCs/>
        </w:rPr>
        <w:t xml:space="preserve"> healthcare system.  </w:t>
      </w:r>
      <w:r w:rsidR="000F741C" w:rsidRPr="00E034AC">
        <w:rPr>
          <w:b/>
          <w:bCs/>
        </w:rPr>
        <w:t>New York State faces</w:t>
      </w:r>
      <w:r w:rsidR="00A90EAA" w:rsidRPr="00E034AC">
        <w:rPr>
          <w:b/>
          <w:bCs/>
        </w:rPr>
        <w:t xml:space="preserve"> a moment of crisis in </w:t>
      </w:r>
      <w:r w:rsidR="00914144" w:rsidRPr="00E034AC">
        <w:rPr>
          <w:b/>
          <w:bCs/>
        </w:rPr>
        <w:t>communities that have insufficient accessible BH services</w:t>
      </w:r>
      <w:r w:rsidR="00A90EAA" w:rsidRPr="00E034AC">
        <w:rPr>
          <w:b/>
          <w:bCs/>
        </w:rPr>
        <w:t>, in the</w:t>
      </w:r>
      <w:r w:rsidR="000F741C" w:rsidRPr="00E034AC">
        <w:rPr>
          <w:b/>
          <w:bCs/>
        </w:rPr>
        <w:t xml:space="preserve"> wake of a pandemic and </w:t>
      </w:r>
      <w:r w:rsidR="00EF1498" w:rsidRPr="00E034AC">
        <w:rPr>
          <w:b/>
          <w:bCs/>
        </w:rPr>
        <w:t>during</w:t>
      </w:r>
      <w:r w:rsidR="00A90EAA" w:rsidRPr="00E034AC">
        <w:rPr>
          <w:b/>
          <w:bCs/>
        </w:rPr>
        <w:t xml:space="preserve"> epidemic levels of </w:t>
      </w:r>
      <w:r w:rsidR="000F741C" w:rsidRPr="00E034AC">
        <w:rPr>
          <w:b/>
          <w:bCs/>
        </w:rPr>
        <w:t xml:space="preserve">suicide, </w:t>
      </w:r>
      <w:r w:rsidR="00A90EAA" w:rsidRPr="00E034AC">
        <w:rPr>
          <w:b/>
          <w:bCs/>
        </w:rPr>
        <w:t xml:space="preserve">addiction, </w:t>
      </w:r>
      <w:r w:rsidR="000F741C" w:rsidRPr="00E034AC">
        <w:rPr>
          <w:b/>
          <w:bCs/>
        </w:rPr>
        <w:t xml:space="preserve">and </w:t>
      </w:r>
      <w:r w:rsidR="00A90EAA" w:rsidRPr="00E034AC">
        <w:rPr>
          <w:b/>
          <w:bCs/>
        </w:rPr>
        <w:t>overdose</w:t>
      </w:r>
      <w:r w:rsidR="00914144" w:rsidRPr="00E034AC">
        <w:rPr>
          <w:b/>
          <w:bCs/>
        </w:rPr>
        <w:t xml:space="preserve">. </w:t>
      </w:r>
      <w:r w:rsidR="00EF1498" w:rsidRPr="00E034AC">
        <w:rPr>
          <w:b/>
          <w:bCs/>
        </w:rPr>
        <w:t>Community BH providers are hanging by a financial thread and increases in demand are being met by decreases in clinic capacity.</w:t>
      </w:r>
      <w:r w:rsidR="00914144" w:rsidRPr="00E034AC">
        <w:rPr>
          <w:b/>
          <w:bCs/>
        </w:rPr>
        <w:t xml:space="preserve"> </w:t>
      </w:r>
      <w:r w:rsidR="000F741C" w:rsidRPr="00E034AC">
        <w:rPr>
          <w:b/>
          <w:bCs/>
        </w:rPr>
        <w:t xml:space="preserve">The financial pressure on community BH providers has only grown since the State transitioned BH Medicaid services to Mainstream Managed Care (MMC) plans and Health and Recovery Plans (HARPs).  </w:t>
      </w:r>
      <w:r w:rsidR="00914144" w:rsidRPr="00E034AC">
        <w:rPr>
          <w:b/>
          <w:bCs/>
        </w:rPr>
        <w:t>The</w:t>
      </w:r>
      <w:r w:rsidR="000F741C" w:rsidRPr="00E034AC">
        <w:rPr>
          <w:b/>
          <w:bCs/>
        </w:rPr>
        <w:t xml:space="preserve"> current</w:t>
      </w:r>
      <w:r w:rsidR="00914144" w:rsidRPr="00E034AC">
        <w:rPr>
          <w:b/>
          <w:bCs/>
        </w:rPr>
        <w:t xml:space="preserve"> state of crisis brought MH and SUD community-based providers together to seek a solution that would address inadequate and inequitable Medicaid funding.</w:t>
      </w:r>
      <w:r w:rsidR="000F741C" w:rsidRPr="00E034AC">
        <w:rPr>
          <w:b/>
          <w:bCs/>
        </w:rPr>
        <w:t xml:space="preserve"> </w:t>
      </w:r>
    </w:p>
    <w:p w14:paraId="5745D9B4" w14:textId="6335D7E6" w:rsidR="00D9589E" w:rsidRPr="0075192C" w:rsidRDefault="00D9589E" w:rsidP="00D9589E">
      <w:pPr>
        <w:ind w:right="-630"/>
        <w:rPr>
          <w:b/>
          <w:bCs/>
          <w:u w:val="single"/>
        </w:rPr>
      </w:pPr>
      <w:r w:rsidRPr="0075192C">
        <w:rPr>
          <w:b/>
          <w:bCs/>
          <w:u w:val="single"/>
        </w:rPr>
        <w:t>Funding Proposal</w:t>
      </w:r>
      <w:r>
        <w:rPr>
          <w:b/>
          <w:bCs/>
          <w:u w:val="single"/>
        </w:rPr>
        <w:t xml:space="preserve"> ($</w:t>
      </w:r>
      <w:r w:rsidR="004F2827">
        <w:rPr>
          <w:b/>
          <w:bCs/>
          <w:u w:val="single"/>
        </w:rPr>
        <w:t>290.1</w:t>
      </w:r>
      <w:r>
        <w:rPr>
          <w:b/>
          <w:bCs/>
          <w:u w:val="single"/>
        </w:rPr>
        <w:t>M)</w:t>
      </w:r>
      <w:r w:rsidRPr="0075192C">
        <w:rPr>
          <w:b/>
          <w:bCs/>
          <w:u w:val="single"/>
        </w:rPr>
        <w:t>:</w:t>
      </w:r>
    </w:p>
    <w:p w14:paraId="2DBDA010" w14:textId="21FAFF66" w:rsidR="00D9589E" w:rsidRPr="001A10DC" w:rsidRDefault="00D9589E" w:rsidP="00E034AC">
      <w:r>
        <w:t xml:space="preserve">We have developed a funding proposal that </w:t>
      </w:r>
      <w:r w:rsidR="00846B0C">
        <w:t xml:space="preserve">will </w:t>
      </w:r>
      <w:r w:rsidR="000F741C">
        <w:t>address</w:t>
      </w:r>
      <w:r w:rsidR="00846B0C">
        <w:t xml:space="preserve"> </w:t>
      </w:r>
      <w:r>
        <w:t xml:space="preserve">the </w:t>
      </w:r>
      <w:r w:rsidR="00A90EAA">
        <w:t>tenuous fiscal viability of service providers caused by i</w:t>
      </w:r>
      <w:r>
        <w:t>nadequa</w:t>
      </w:r>
      <w:r w:rsidR="00A90EAA">
        <w:t>te</w:t>
      </w:r>
      <w:r>
        <w:t xml:space="preserve"> Medicaid </w:t>
      </w:r>
      <w:r w:rsidR="00A90EAA">
        <w:t xml:space="preserve">rates </w:t>
      </w:r>
      <w:r w:rsidR="000F741C">
        <w:t>that have failed to keep pace with inflation</w:t>
      </w:r>
      <w:r w:rsidR="00846B0C">
        <w:t>.</w:t>
      </w:r>
      <w:r>
        <w:t xml:space="preserve"> Our funding proposal </w:t>
      </w:r>
      <w:r w:rsidR="00846B0C">
        <w:t xml:space="preserve">will </w:t>
      </w:r>
      <w:r>
        <w:t xml:space="preserve">also </w:t>
      </w:r>
      <w:r w:rsidR="00846B0C">
        <w:t>address structural</w:t>
      </w:r>
      <w:r>
        <w:t xml:space="preserve"> injustice</w:t>
      </w:r>
      <w:r w:rsidR="00846B0C">
        <w:t>s</w:t>
      </w:r>
      <w:r>
        <w:t xml:space="preserve"> impacting people of color</w:t>
      </w:r>
      <w:r w:rsidR="00EF1498">
        <w:t xml:space="preserve"> </w:t>
      </w:r>
      <w:r>
        <w:t xml:space="preserve">and </w:t>
      </w:r>
      <w:r w:rsidR="00EF1498">
        <w:t xml:space="preserve">other </w:t>
      </w:r>
      <w:r>
        <w:t xml:space="preserve">underserved communities </w:t>
      </w:r>
      <w:r w:rsidR="00846B0C">
        <w:t xml:space="preserve">by strengthening and </w:t>
      </w:r>
      <w:r>
        <w:t>better coordinat</w:t>
      </w:r>
      <w:r w:rsidR="00846B0C">
        <w:t>ing</w:t>
      </w:r>
      <w:r>
        <w:t xml:space="preserve"> supports that address Social </w:t>
      </w:r>
      <w:r w:rsidR="000F741C">
        <w:t>Drivers</w:t>
      </w:r>
      <w:r>
        <w:t xml:space="preserve"> of Health (SDOH) for Medicaid beneficiaries </w:t>
      </w:r>
      <w:proofErr w:type="gramStart"/>
      <w:r w:rsidR="00EF1498">
        <w:t xml:space="preserve">in order </w:t>
      </w:r>
      <w:r>
        <w:t>to</w:t>
      </w:r>
      <w:proofErr w:type="gramEnd"/>
      <w:r>
        <w:t xml:space="preserve"> ensure access to safe housing, nutritious food, educational and vocational opportunities.  </w:t>
      </w:r>
    </w:p>
    <w:p w14:paraId="5EB25F33" w14:textId="1F323B4D" w:rsidR="00D9589E" w:rsidRDefault="00D9589E" w:rsidP="00D9589E">
      <w:pPr>
        <w:pStyle w:val="ListParagraph"/>
        <w:numPr>
          <w:ilvl w:val="0"/>
          <w:numId w:val="1"/>
        </w:numPr>
      </w:pPr>
      <w:r w:rsidRPr="001A10DC">
        <w:rPr>
          <w:b/>
          <w:bCs/>
          <w:u w:val="single"/>
        </w:rPr>
        <w:t>Behavioral Health Quality Improvement Program (BH-QIP) Targeting Disparities &amp; Equity ($</w:t>
      </w:r>
      <w:r w:rsidR="004F2827">
        <w:rPr>
          <w:b/>
          <w:bCs/>
          <w:u w:val="single"/>
        </w:rPr>
        <w:t>39.</w:t>
      </w:r>
      <w:r w:rsidR="0086505A">
        <w:rPr>
          <w:b/>
          <w:bCs/>
          <w:u w:val="single"/>
        </w:rPr>
        <w:t>6</w:t>
      </w:r>
      <w:r w:rsidR="004F2827">
        <w:rPr>
          <w:b/>
          <w:bCs/>
          <w:u w:val="single"/>
        </w:rPr>
        <w:t>M</w:t>
      </w:r>
      <w:r w:rsidRPr="001A10DC">
        <w:rPr>
          <w:b/>
          <w:bCs/>
          <w:u w:val="single"/>
        </w:rPr>
        <w:t>)</w:t>
      </w:r>
      <w:r>
        <w:t xml:space="preserve">: </w:t>
      </w:r>
      <w:r w:rsidR="00846B0C">
        <w:t xml:space="preserve">Licensed Article 31 and Article 32 outpatient </w:t>
      </w:r>
      <w:r w:rsidRPr="001A10DC">
        <w:t>clinics will be evaluated to determine a performance driven add-on payment. Providers would be rewarded based on attainment of thresholds for quality and equity metrics.</w:t>
      </w:r>
      <w:r>
        <w:t xml:space="preserve">  Equity metrics would address long term structural issues like acces</w:t>
      </w:r>
      <w:r w:rsidR="00216B86">
        <w:t>s to care, retention, outcomes for BIPOC</w:t>
      </w:r>
      <w:r>
        <w:t xml:space="preserve"> populations, and other equity-driven challenges.  </w:t>
      </w:r>
    </w:p>
    <w:p w14:paraId="7BFB1C1D" w14:textId="77777777" w:rsidR="00D9589E" w:rsidRDefault="00D9589E" w:rsidP="00D9589E">
      <w:pPr>
        <w:pStyle w:val="ListParagraph"/>
        <w:ind w:left="1080"/>
      </w:pPr>
    </w:p>
    <w:p w14:paraId="0A2CBE9A" w14:textId="1C4B1C10" w:rsidR="009F2256" w:rsidRPr="00080007" w:rsidRDefault="00D9589E" w:rsidP="0093082E">
      <w:pPr>
        <w:pStyle w:val="ListParagraph"/>
        <w:numPr>
          <w:ilvl w:val="0"/>
          <w:numId w:val="1"/>
        </w:numPr>
        <w:rPr>
          <w:b/>
          <w:bCs/>
          <w:u w:val="single"/>
        </w:rPr>
      </w:pPr>
      <w:r w:rsidRPr="00080007">
        <w:rPr>
          <w:b/>
          <w:bCs/>
          <w:u w:val="single"/>
        </w:rPr>
        <w:t>SDOH Coordination Fee ($</w:t>
      </w:r>
      <w:r w:rsidR="00906BF7">
        <w:rPr>
          <w:b/>
          <w:bCs/>
          <w:u w:val="single"/>
        </w:rPr>
        <w:t>21</w:t>
      </w:r>
      <w:r w:rsidR="0086505A">
        <w:rPr>
          <w:b/>
          <w:bCs/>
          <w:u w:val="single"/>
        </w:rPr>
        <w:t>1</w:t>
      </w:r>
      <w:r w:rsidR="00906BF7">
        <w:rPr>
          <w:b/>
          <w:bCs/>
          <w:u w:val="single"/>
        </w:rPr>
        <w:t>.</w:t>
      </w:r>
      <w:r w:rsidR="0086505A">
        <w:rPr>
          <w:b/>
          <w:bCs/>
          <w:u w:val="single"/>
        </w:rPr>
        <w:t>8</w:t>
      </w:r>
      <w:r w:rsidRPr="00080007">
        <w:rPr>
          <w:b/>
          <w:bCs/>
          <w:u w:val="single"/>
        </w:rPr>
        <w:t>M):</w:t>
      </w:r>
      <w:r w:rsidRPr="00080007">
        <w:rPr>
          <w:b/>
          <w:bCs/>
        </w:rPr>
        <w:t xml:space="preserve"> </w:t>
      </w:r>
      <w:r w:rsidRPr="0075192C">
        <w:t>The SDOH coordination fee would reimburse BH providers</w:t>
      </w:r>
      <w:r w:rsidR="00454DE8">
        <w:t xml:space="preserve"> </w:t>
      </w:r>
      <w:r w:rsidRPr="0075192C">
        <w:t>for critical coordination supports that connect individuals to vital social services to address their whole person needs and promote stability</w:t>
      </w:r>
      <w:r>
        <w:t xml:space="preserve"> and recovery</w:t>
      </w:r>
      <w:r w:rsidRPr="0075192C">
        <w:t xml:space="preserve"> in the community.  This fee would fund </w:t>
      </w:r>
      <w:r>
        <w:t xml:space="preserve">currently </w:t>
      </w:r>
      <w:r w:rsidRPr="0075192C">
        <w:t xml:space="preserve">non-billable provider time spent on contacting and coordinating resources, including housing, food, school and social programs, vocational and education services, and coordinating stakeholders and caregivers.  </w:t>
      </w:r>
      <w:r w:rsidRPr="00080007">
        <w:rPr>
          <w:rFonts w:ascii="Calibri" w:eastAsia="Times New Roman" w:hAnsi="Calibri" w:cs="Calibri"/>
          <w:color w:val="000000"/>
        </w:rPr>
        <w:t xml:space="preserve">National and state evidence show that this coordination support improves recovery and wellness for individuals and </w:t>
      </w:r>
      <w:r w:rsidR="00EF1498">
        <w:rPr>
          <w:rFonts w:ascii="Calibri" w:eastAsia="Times New Roman" w:hAnsi="Calibri" w:cs="Calibri"/>
          <w:color w:val="000000"/>
        </w:rPr>
        <w:t>generates</w:t>
      </w:r>
      <w:r w:rsidRPr="00080007">
        <w:rPr>
          <w:rFonts w:ascii="Calibri" w:eastAsia="Times New Roman" w:hAnsi="Calibri" w:cs="Calibri"/>
          <w:color w:val="000000"/>
        </w:rPr>
        <w:t xml:space="preserve"> a return on investment for the overall system.</w:t>
      </w:r>
      <w:r w:rsidRPr="0075192C">
        <w:tab/>
      </w:r>
      <w:r w:rsidRPr="0075192C">
        <w:tab/>
      </w:r>
      <w:r w:rsidRPr="00080007">
        <w:rPr>
          <w:b/>
          <w:bCs/>
        </w:rPr>
        <w:tab/>
      </w:r>
    </w:p>
    <w:p w14:paraId="0BDFD300" w14:textId="77777777" w:rsidR="009F2256" w:rsidRDefault="009F2256" w:rsidP="009F2256">
      <w:pPr>
        <w:pStyle w:val="ListParagraph"/>
        <w:ind w:left="1080"/>
        <w:rPr>
          <w:b/>
          <w:bCs/>
          <w:u w:val="single"/>
        </w:rPr>
      </w:pPr>
    </w:p>
    <w:p w14:paraId="719E8836" w14:textId="3C22B73A" w:rsidR="00207577" w:rsidRPr="00207577" w:rsidRDefault="009F2256" w:rsidP="00207577">
      <w:pPr>
        <w:pStyle w:val="ListParagraph"/>
        <w:numPr>
          <w:ilvl w:val="0"/>
          <w:numId w:val="1"/>
        </w:numPr>
        <w:rPr>
          <w:b/>
          <w:bCs/>
          <w:u w:val="single"/>
        </w:rPr>
      </w:pPr>
      <w:r w:rsidRPr="00EF1498">
        <w:rPr>
          <w:b/>
          <w:bCs/>
          <w:u w:val="single"/>
        </w:rPr>
        <w:t>Trended</w:t>
      </w:r>
      <w:r w:rsidR="00190BFE" w:rsidRPr="00EF1498">
        <w:rPr>
          <w:b/>
          <w:bCs/>
          <w:u w:val="single"/>
        </w:rPr>
        <w:t xml:space="preserve"> </w:t>
      </w:r>
      <w:r w:rsidR="00D9589E" w:rsidRPr="00EF1498">
        <w:rPr>
          <w:b/>
          <w:bCs/>
          <w:u w:val="single"/>
        </w:rPr>
        <w:t>Ambulatory Patient Group (APG) Rate ($</w:t>
      </w:r>
      <w:r w:rsidR="004F2827">
        <w:rPr>
          <w:b/>
          <w:bCs/>
          <w:u w:val="single"/>
        </w:rPr>
        <w:t>40.</w:t>
      </w:r>
      <w:r w:rsidR="0086505A">
        <w:rPr>
          <w:b/>
          <w:bCs/>
          <w:u w:val="single"/>
        </w:rPr>
        <w:t>5</w:t>
      </w:r>
      <w:r w:rsidR="00D9589E" w:rsidRPr="00EF1498">
        <w:rPr>
          <w:b/>
          <w:bCs/>
          <w:u w:val="single"/>
        </w:rPr>
        <w:t>M):</w:t>
      </w:r>
      <w:r w:rsidR="00D9589E" w:rsidRPr="00EF1498">
        <w:rPr>
          <w:b/>
          <w:bCs/>
        </w:rPr>
        <w:t xml:space="preserve"> </w:t>
      </w:r>
      <w:r w:rsidR="00D9589E">
        <w:t xml:space="preserve">Outpatient BH providers </w:t>
      </w:r>
      <w:r w:rsidR="00080007">
        <w:t xml:space="preserve">are experiencing hardship </w:t>
      </w:r>
      <w:r w:rsidR="00EF1498">
        <w:t>because of</w:t>
      </w:r>
      <w:r w:rsidR="00080007">
        <w:t xml:space="preserve"> reimbursement rates that do not cover the cost of service </w:t>
      </w:r>
      <w:r w:rsidR="00207577">
        <w:t>amid</w:t>
      </w:r>
      <w:r w:rsidR="00080007">
        <w:t xml:space="preserve"> escalating demand. When NYS fails to adjust rates to </w:t>
      </w:r>
      <w:r w:rsidR="00207577">
        <w:t>enable</w:t>
      </w:r>
      <w:r w:rsidR="00080007">
        <w:t xml:space="preserve"> BH service providers keep </w:t>
      </w:r>
      <w:r w:rsidR="00207577">
        <w:t>pace</w:t>
      </w:r>
      <w:r w:rsidR="00080007">
        <w:t xml:space="preserve"> with inflation </w:t>
      </w:r>
      <w:r w:rsidR="009E0AD2">
        <w:t xml:space="preserve">and concurrently fails to include BH equitably in infrastructure programs, </w:t>
      </w:r>
      <w:r w:rsidR="00080007">
        <w:t xml:space="preserve">it </w:t>
      </w:r>
      <w:r w:rsidR="009E0AD2">
        <w:t>puts enormous strain on a BH service delivery system s</w:t>
      </w:r>
      <w:r w:rsidR="00D9589E">
        <w:t>truggl</w:t>
      </w:r>
      <w:r w:rsidR="009E0AD2">
        <w:t>ing to</w:t>
      </w:r>
      <w:r w:rsidR="00D9589E">
        <w:t xml:space="preserve"> maintain safe, comp</w:t>
      </w:r>
      <w:r w:rsidR="00E6427D">
        <w:t>liant physical space; recruit</w:t>
      </w:r>
      <w:r w:rsidR="00D9589E">
        <w:t xml:space="preserve"> and</w:t>
      </w:r>
      <w:r w:rsidR="009E0AD2">
        <w:t xml:space="preserve"> </w:t>
      </w:r>
      <w:r w:rsidR="00E6427D">
        <w:t>retain</w:t>
      </w:r>
      <w:r w:rsidR="00D9589E">
        <w:t xml:space="preserve"> high-quality, appropriately specialized clinical and no</w:t>
      </w:r>
      <w:r w:rsidR="00E6427D">
        <w:t>n-clinical staff; and sustain</w:t>
      </w:r>
      <w:r w:rsidR="00D9589E">
        <w:t xml:space="preserve"> mission-based s</w:t>
      </w:r>
      <w:r w:rsidR="00E6427D">
        <w:t xml:space="preserve">ervices </w:t>
      </w:r>
      <w:r w:rsidR="00D9589E">
        <w:t>across the state. All rates paid to BH providers (including APGs, BH-QIP, and SDOH coordination fees) should trend with inflation annually</w:t>
      </w:r>
      <w:r w:rsidR="00E6427D">
        <w:t>.</w:t>
      </w:r>
      <w:r w:rsidR="00D9589E">
        <w:t xml:space="preserve"> </w:t>
      </w:r>
    </w:p>
    <w:p w14:paraId="4134814A" w14:textId="65EDDF5B" w:rsidR="00207577" w:rsidRDefault="00207577" w:rsidP="00207577">
      <w:pPr>
        <w:rPr>
          <w:b/>
          <w:bCs/>
          <w:i/>
          <w:iCs/>
        </w:rPr>
      </w:pPr>
      <w:r>
        <w:rPr>
          <w:b/>
          <w:bCs/>
          <w:i/>
          <w:iCs/>
        </w:rPr>
        <w:t>Upper Payment Limit considerations</w:t>
      </w:r>
    </w:p>
    <w:p w14:paraId="515E1586" w14:textId="729A12AB" w:rsidR="00207577" w:rsidRPr="00207577" w:rsidRDefault="00207577" w:rsidP="00207577">
      <w:r>
        <w:t xml:space="preserve">In recognition of federal Upper Payment Limit (UPL) rules that constrain New York State’s ability to increase rates for community outpatient BH services, we propose that both the BH-QIP and SDOH Coordination fee be structured as </w:t>
      </w:r>
      <w:r>
        <w:lastRenderedPageBreak/>
        <w:t>managed care directed payments. This removes those payments from UPL calculations. Further, we propose that the APG rates trend at the same rate as federal Medicare rates, thus ensuring that they do not pierce the UPL.</w:t>
      </w:r>
    </w:p>
    <w:p w14:paraId="779896FE" w14:textId="3C0AA165" w:rsidR="00353971" w:rsidRPr="0075192C" w:rsidRDefault="00EF1498" w:rsidP="00353971">
      <w:pPr>
        <w:rPr>
          <w:b/>
          <w:bCs/>
          <w:u w:val="single"/>
        </w:rPr>
      </w:pPr>
      <w:r>
        <w:rPr>
          <w:b/>
          <w:bCs/>
          <w:u w:val="single"/>
        </w:rPr>
        <w:t>BH Providers are financially distressed</w:t>
      </w:r>
      <w:r>
        <w:rPr>
          <w:rStyle w:val="FootnoteReference"/>
          <w:b/>
          <w:bCs/>
          <w:u w:val="single"/>
        </w:rPr>
        <w:footnoteReference w:id="1"/>
      </w:r>
    </w:p>
    <w:p w14:paraId="4D6A9872" w14:textId="77777777" w:rsidR="00914144" w:rsidRDefault="00914144" w:rsidP="00914144">
      <w:pPr>
        <w:pStyle w:val="ListParagraph"/>
        <w:numPr>
          <w:ilvl w:val="0"/>
          <w:numId w:val="7"/>
        </w:numPr>
      </w:pPr>
      <w:r>
        <w:t>The average provider had less than three weeks of cash on hand (18.4 days)</w:t>
      </w:r>
    </w:p>
    <w:p w14:paraId="0D673CFC" w14:textId="77777777" w:rsidR="00914144" w:rsidRDefault="00914144" w:rsidP="00914144">
      <w:pPr>
        <w:pStyle w:val="ListParagraph"/>
        <w:numPr>
          <w:ilvl w:val="1"/>
          <w:numId w:val="7"/>
        </w:numPr>
      </w:pPr>
      <w:r>
        <w:t>A quarter of providers had less than one week of cash on hand (5.8 days)</w:t>
      </w:r>
    </w:p>
    <w:p w14:paraId="4C9B54C8" w14:textId="77777777" w:rsidR="00914144" w:rsidRDefault="00914144" w:rsidP="00914144">
      <w:pPr>
        <w:pStyle w:val="ListParagraph"/>
        <w:numPr>
          <w:ilvl w:val="1"/>
          <w:numId w:val="7"/>
        </w:numPr>
      </w:pPr>
      <w:r>
        <w:t>Only 20% had over two months of cash on hand</w:t>
      </w:r>
    </w:p>
    <w:p w14:paraId="52E1A2AC" w14:textId="4DB496AD" w:rsidR="00914144" w:rsidRDefault="00914144" w:rsidP="00914144">
      <w:pPr>
        <w:pStyle w:val="ListParagraph"/>
        <w:numPr>
          <w:ilvl w:val="0"/>
          <w:numId w:val="7"/>
        </w:numPr>
      </w:pPr>
      <w:r>
        <w:t>30% of providers are likely to have difficulty paying their current obligations for the coming year</w:t>
      </w:r>
    </w:p>
    <w:p w14:paraId="605DF8D7" w14:textId="77777777" w:rsidR="00914144" w:rsidRPr="00E40EAB" w:rsidRDefault="00914144" w:rsidP="00914144">
      <w:pPr>
        <w:pStyle w:val="ListParagraph"/>
        <w:numPr>
          <w:ilvl w:val="0"/>
          <w:numId w:val="7"/>
        </w:numPr>
      </w:pPr>
      <w:r w:rsidRPr="00E40EAB">
        <w:t>40% of providers had a total margin of zero or less</w:t>
      </w:r>
    </w:p>
    <w:p w14:paraId="10204C6A" w14:textId="77777777" w:rsidR="00914144" w:rsidRDefault="00914144" w:rsidP="00914144">
      <w:pPr>
        <w:pStyle w:val="ListParagraph"/>
        <w:numPr>
          <w:ilvl w:val="1"/>
          <w:numId w:val="7"/>
        </w:numPr>
      </w:pPr>
      <w:r>
        <w:t>More than a quarter of providers had a negative margin in 2019</w:t>
      </w:r>
    </w:p>
    <w:p w14:paraId="1B47E216" w14:textId="4B57EBDC" w:rsidR="0079358C" w:rsidRPr="0075192C" w:rsidRDefault="00914144" w:rsidP="00353971">
      <w:pPr>
        <w:rPr>
          <w:rFonts w:cstheme="minorHAnsi"/>
          <w:b/>
          <w:bCs/>
          <w:u w:val="single"/>
        </w:rPr>
      </w:pPr>
      <w:r w:rsidRPr="0075192C">
        <w:rPr>
          <w:rFonts w:cstheme="minorHAnsi"/>
          <w:b/>
          <w:bCs/>
          <w:u w:val="single"/>
        </w:rPr>
        <w:t>Growing Need for Adequate BH Services in Wake of COVID-19</w:t>
      </w:r>
    </w:p>
    <w:p w14:paraId="0700309D" w14:textId="2CF8580E" w:rsidR="00914144" w:rsidRPr="00914144" w:rsidRDefault="00914144" w:rsidP="00914144">
      <w:pPr>
        <w:pStyle w:val="NoSpacing"/>
      </w:pPr>
      <w:r w:rsidRPr="00914144">
        <w:t>According to “</w:t>
      </w:r>
      <w:r w:rsidRPr="00914144">
        <w:rPr>
          <w:b/>
          <w:bCs/>
        </w:rPr>
        <w:t>Mental Health Impact of the Coronavirus Pandemic in New York State</w:t>
      </w:r>
      <w:r w:rsidRPr="00914144">
        <w:t>,” published by the New York State Health Foundation:</w:t>
      </w:r>
    </w:p>
    <w:p w14:paraId="7DFD7032" w14:textId="7413FAA3" w:rsidR="0079358C" w:rsidRDefault="0079358C" w:rsidP="00914144">
      <w:pPr>
        <w:pStyle w:val="NoSpacing"/>
        <w:numPr>
          <w:ilvl w:val="0"/>
          <w:numId w:val="9"/>
        </w:numPr>
        <w:rPr>
          <w:rFonts w:eastAsia="Times New Roman"/>
          <w:spacing w:val="2"/>
        </w:rPr>
      </w:pPr>
      <w:r w:rsidRPr="00914144">
        <w:rPr>
          <w:rFonts w:eastAsia="Times New Roman"/>
          <w:spacing w:val="2"/>
        </w:rPr>
        <w:t>The proportion of New Yorkers reporting poor mental health has remained high throughout the pandemic, reaching 37% of a</w:t>
      </w:r>
      <w:r w:rsidR="00DD2B96">
        <w:rPr>
          <w:rFonts w:eastAsia="Times New Roman"/>
          <w:spacing w:val="2"/>
        </w:rPr>
        <w:t>dult New Yorkers and 49% of</w:t>
      </w:r>
      <w:r w:rsidR="00DD2B96" w:rsidRPr="00DD2B96">
        <w:rPr>
          <w:rFonts w:eastAsia="Times New Roman"/>
          <w:spacing w:val="2"/>
        </w:rPr>
        <w:t xml:space="preserve"> </w:t>
      </w:r>
      <w:r w:rsidR="00DD2B96" w:rsidRPr="00914144">
        <w:rPr>
          <w:rFonts w:eastAsia="Times New Roman"/>
          <w:spacing w:val="2"/>
        </w:rPr>
        <w:t>young adult New Yorkers (ages 18–34 years)</w:t>
      </w:r>
      <w:r w:rsidR="00DD2B96">
        <w:rPr>
          <w:rFonts w:eastAsia="Times New Roman"/>
          <w:spacing w:val="2"/>
        </w:rPr>
        <w:t xml:space="preserve"> who had the </w:t>
      </w:r>
      <w:r w:rsidR="00DD2B96" w:rsidRPr="00914144">
        <w:rPr>
          <w:rFonts w:eastAsia="Times New Roman"/>
          <w:spacing w:val="2"/>
        </w:rPr>
        <w:t>highest rates</w:t>
      </w:r>
    </w:p>
    <w:p w14:paraId="3D833A3F" w14:textId="36103AD0" w:rsidR="00DD2B96" w:rsidRPr="00914144" w:rsidRDefault="00DD2B96" w:rsidP="00914144">
      <w:pPr>
        <w:pStyle w:val="NoSpacing"/>
        <w:numPr>
          <w:ilvl w:val="0"/>
          <w:numId w:val="9"/>
        </w:numPr>
        <w:rPr>
          <w:rFonts w:eastAsia="Times New Roman"/>
          <w:spacing w:val="2"/>
        </w:rPr>
      </w:pPr>
      <w:r>
        <w:rPr>
          <w:rFonts w:eastAsia="Times New Roman"/>
          <w:spacing w:val="2"/>
        </w:rPr>
        <w:t xml:space="preserve">Overdose </w:t>
      </w:r>
      <w:r w:rsidR="00207577">
        <w:rPr>
          <w:rFonts w:eastAsia="Times New Roman"/>
          <w:spacing w:val="2"/>
        </w:rPr>
        <w:t>rates</w:t>
      </w:r>
      <w:r>
        <w:rPr>
          <w:rFonts w:eastAsia="Times New Roman"/>
          <w:spacing w:val="2"/>
        </w:rPr>
        <w:t xml:space="preserve"> have continued to set new records almost every year for close to two decades</w:t>
      </w:r>
    </w:p>
    <w:p w14:paraId="7EC61B7B" w14:textId="149EEA98" w:rsidR="0079358C" w:rsidRPr="00914144" w:rsidRDefault="0079358C" w:rsidP="00914144">
      <w:pPr>
        <w:pStyle w:val="NoSpacing"/>
        <w:numPr>
          <w:ilvl w:val="0"/>
          <w:numId w:val="9"/>
        </w:numPr>
        <w:rPr>
          <w:rFonts w:eastAsia="Times New Roman"/>
          <w:spacing w:val="2"/>
        </w:rPr>
      </w:pPr>
      <w:r w:rsidRPr="00914144">
        <w:rPr>
          <w:rFonts w:eastAsia="Times New Roman"/>
          <w:spacing w:val="2"/>
        </w:rPr>
        <w:t>New Y</w:t>
      </w:r>
      <w:r w:rsidR="009E1DAD">
        <w:rPr>
          <w:rFonts w:eastAsia="Times New Roman"/>
          <w:spacing w:val="2"/>
        </w:rPr>
        <w:t>orkers of color generally report</w:t>
      </w:r>
      <w:r w:rsidRPr="00914144">
        <w:rPr>
          <w:rFonts w:eastAsia="Times New Roman"/>
          <w:spacing w:val="2"/>
        </w:rPr>
        <w:t>ed the highest rates of poor mental health throughout the survey period. In October 2020, 42% of Hispanic and 39% of Black New Yorkers reported symptoms of anxiety and/or depression in the prior week.</w:t>
      </w:r>
    </w:p>
    <w:p w14:paraId="517AF3E0" w14:textId="77777777" w:rsidR="00AE737A" w:rsidRPr="00AE737A" w:rsidRDefault="00AE737A" w:rsidP="00AE737A">
      <w:pPr>
        <w:pStyle w:val="NoSpacing"/>
        <w:ind w:left="720"/>
        <w:rPr>
          <w:rFonts w:eastAsia="Times New Roman"/>
          <w:spacing w:val="2"/>
        </w:rPr>
      </w:pPr>
    </w:p>
    <w:p w14:paraId="43B4B2AB" w14:textId="2284A783" w:rsidR="00914144" w:rsidRPr="0075192C" w:rsidRDefault="00914144" w:rsidP="00914144">
      <w:pPr>
        <w:rPr>
          <w:rFonts w:cstheme="minorHAnsi"/>
          <w:b/>
          <w:bCs/>
          <w:u w:val="single"/>
        </w:rPr>
      </w:pPr>
      <w:r w:rsidRPr="0075192C">
        <w:rPr>
          <w:rFonts w:cstheme="minorHAnsi"/>
          <w:b/>
          <w:bCs/>
          <w:u w:val="single"/>
        </w:rPr>
        <w:t xml:space="preserve">Capacity </w:t>
      </w:r>
      <w:r w:rsidR="0075192C" w:rsidRPr="0075192C">
        <w:rPr>
          <w:rFonts w:cstheme="minorHAnsi"/>
          <w:b/>
          <w:bCs/>
          <w:u w:val="single"/>
        </w:rPr>
        <w:t>Continues to</w:t>
      </w:r>
      <w:r w:rsidRPr="0075192C">
        <w:rPr>
          <w:rFonts w:cstheme="minorHAnsi"/>
          <w:b/>
          <w:bCs/>
          <w:u w:val="single"/>
        </w:rPr>
        <w:t xml:space="preserve"> Shrink </w:t>
      </w:r>
      <w:r w:rsidR="0075192C" w:rsidRPr="0075192C">
        <w:rPr>
          <w:rFonts w:cstheme="minorHAnsi"/>
          <w:b/>
          <w:bCs/>
          <w:u w:val="single"/>
        </w:rPr>
        <w:t>a</w:t>
      </w:r>
      <w:r w:rsidR="00AE737A" w:rsidRPr="0075192C">
        <w:rPr>
          <w:rFonts w:cstheme="minorHAnsi"/>
          <w:b/>
          <w:bCs/>
          <w:u w:val="single"/>
        </w:rPr>
        <w:t>s</w:t>
      </w:r>
      <w:r w:rsidRPr="0075192C">
        <w:rPr>
          <w:rFonts w:cstheme="minorHAnsi"/>
          <w:b/>
          <w:bCs/>
          <w:u w:val="single"/>
        </w:rPr>
        <w:t xml:space="preserve"> </w:t>
      </w:r>
      <w:r w:rsidR="0075192C" w:rsidRPr="0075192C">
        <w:rPr>
          <w:rFonts w:cstheme="minorHAnsi"/>
          <w:b/>
          <w:bCs/>
          <w:u w:val="single"/>
        </w:rPr>
        <w:t xml:space="preserve">Medicaid </w:t>
      </w:r>
      <w:r w:rsidRPr="0075192C">
        <w:rPr>
          <w:rFonts w:cstheme="minorHAnsi"/>
          <w:b/>
          <w:bCs/>
          <w:u w:val="single"/>
        </w:rPr>
        <w:t>Beneficiaries</w:t>
      </w:r>
      <w:r w:rsidR="00AE737A" w:rsidRPr="0075192C">
        <w:rPr>
          <w:rFonts w:cstheme="minorHAnsi"/>
          <w:b/>
          <w:bCs/>
          <w:u w:val="single"/>
        </w:rPr>
        <w:t xml:space="preserve"> Seeking BH Services</w:t>
      </w:r>
      <w:r w:rsidRPr="0075192C">
        <w:rPr>
          <w:rFonts w:cstheme="minorHAnsi"/>
          <w:b/>
          <w:bCs/>
          <w:u w:val="single"/>
        </w:rPr>
        <w:t xml:space="preserve"> </w:t>
      </w:r>
      <w:r w:rsidR="00AE737A" w:rsidRPr="0075192C">
        <w:rPr>
          <w:rFonts w:cstheme="minorHAnsi"/>
          <w:b/>
          <w:bCs/>
          <w:u w:val="single"/>
        </w:rPr>
        <w:t>Grows</w:t>
      </w:r>
    </w:p>
    <w:p w14:paraId="2B0B356B" w14:textId="3E0346F2" w:rsidR="006717F7" w:rsidRDefault="00AE737A" w:rsidP="00984CA7">
      <w:pPr>
        <w:rPr>
          <w:rFonts w:cstheme="minorHAnsi"/>
        </w:rPr>
      </w:pPr>
      <w:r>
        <w:rPr>
          <w:rFonts w:cstheme="minorHAnsi"/>
        </w:rPr>
        <w:t xml:space="preserve">According to utilization and capacity data published by the Office of Mental Health (OMH), Statewide </w:t>
      </w:r>
      <w:r w:rsidR="0039786F">
        <w:rPr>
          <w:rFonts w:cstheme="minorHAnsi"/>
        </w:rPr>
        <w:t>mental</w:t>
      </w:r>
      <w:r>
        <w:rPr>
          <w:rFonts w:cstheme="minorHAnsi"/>
        </w:rPr>
        <w:t xml:space="preserve"> health capacity has continued to shrink while</w:t>
      </w:r>
      <w:r w:rsidR="00454DE8">
        <w:rPr>
          <w:rFonts w:cstheme="minorHAnsi"/>
        </w:rPr>
        <w:t xml:space="preserve"> the number of</w:t>
      </w:r>
      <w:r>
        <w:rPr>
          <w:rFonts w:cstheme="minorHAnsi"/>
        </w:rPr>
        <w:t xml:space="preserve"> beneficiaries seeking community BH services ha</w:t>
      </w:r>
      <w:r w:rsidR="00454DE8">
        <w:rPr>
          <w:rFonts w:cstheme="minorHAnsi"/>
        </w:rPr>
        <w:t>ve</w:t>
      </w:r>
      <w:r>
        <w:rPr>
          <w:rFonts w:cstheme="minorHAnsi"/>
        </w:rPr>
        <w:t xml:space="preserve"> grown steadily.  </w:t>
      </w:r>
      <w:r w:rsidR="00855A07" w:rsidRPr="00454DE8">
        <w:rPr>
          <w:rFonts w:cstheme="minorHAnsi"/>
          <w:b/>
          <w:bCs/>
          <w:i/>
          <w:iCs/>
        </w:rPr>
        <w:t xml:space="preserve">Outpatient behavioral health capacity shrank or remained flat in all regions from 2013-2019 despite </w:t>
      </w:r>
      <w:r w:rsidR="00454DE8">
        <w:rPr>
          <w:rFonts w:cstheme="minorHAnsi"/>
          <w:b/>
          <w:bCs/>
          <w:i/>
          <w:iCs/>
        </w:rPr>
        <w:t>substantial</w:t>
      </w:r>
      <w:r w:rsidR="00855A07" w:rsidRPr="00454DE8">
        <w:rPr>
          <w:rFonts w:cstheme="minorHAnsi"/>
          <w:b/>
          <w:bCs/>
          <w:i/>
          <w:iCs/>
        </w:rPr>
        <w:t xml:space="preserve"> growth in </w:t>
      </w:r>
      <w:r w:rsidR="00454DE8" w:rsidRPr="00454DE8">
        <w:rPr>
          <w:rFonts w:cstheme="minorHAnsi"/>
          <w:b/>
          <w:bCs/>
          <w:i/>
          <w:iCs/>
        </w:rPr>
        <w:t xml:space="preserve">the </w:t>
      </w:r>
      <w:r w:rsidR="00855A07" w:rsidRPr="00454DE8">
        <w:rPr>
          <w:rFonts w:cstheme="minorHAnsi"/>
          <w:b/>
          <w:bCs/>
          <w:i/>
          <w:iCs/>
        </w:rPr>
        <w:t>number of service recipients.</w:t>
      </w:r>
      <w:r w:rsidR="00855A07">
        <w:rPr>
          <w:rFonts w:cstheme="minorHAnsi"/>
        </w:rPr>
        <w:t xml:space="preserve"> </w:t>
      </w:r>
      <w:r w:rsidR="00984CA7">
        <w:rPr>
          <w:rFonts w:cstheme="minorHAnsi"/>
        </w:rPr>
        <w:t>Article 31 and 32</w:t>
      </w:r>
      <w:r w:rsidR="00454DE8">
        <w:rPr>
          <w:rFonts w:cstheme="minorHAnsi"/>
        </w:rPr>
        <w:t xml:space="preserve"> outpatient</w:t>
      </w:r>
      <w:r w:rsidR="00984CA7">
        <w:rPr>
          <w:rFonts w:cstheme="minorHAnsi"/>
        </w:rPr>
        <w:t xml:space="preserve"> clinics continue to close due to financial concerns leaving fewer providers responding to</w:t>
      </w:r>
      <w:r w:rsidR="009E1DAD">
        <w:rPr>
          <w:rFonts w:cstheme="minorHAnsi"/>
        </w:rPr>
        <w:t xml:space="preserve"> the growing need</w:t>
      </w:r>
      <w:r w:rsidR="00984CA7">
        <w:rPr>
          <w:rFonts w:cstheme="minorHAnsi"/>
        </w:rPr>
        <w:t xml:space="preserve">.  </w:t>
      </w:r>
      <w:r w:rsidR="009E1DAD">
        <w:rPr>
          <w:rFonts w:cstheme="minorHAnsi"/>
        </w:rPr>
        <w:t xml:space="preserve">Our proposal will help to sustain and strengthen capacity </w:t>
      </w:r>
      <w:r w:rsidR="00454DE8">
        <w:rPr>
          <w:rFonts w:cstheme="minorHAnsi"/>
        </w:rPr>
        <w:t>when</w:t>
      </w:r>
      <w:r w:rsidR="009E1DAD">
        <w:rPr>
          <w:rFonts w:cstheme="minorHAnsi"/>
        </w:rPr>
        <w:t xml:space="preserve"> it is most needed</w:t>
      </w:r>
      <w:r w:rsidR="00984CA7">
        <w:rPr>
          <w:rFonts w:cstheme="minorHAnsi"/>
        </w:rPr>
        <w:t xml:space="preserve">.  </w:t>
      </w:r>
    </w:p>
    <w:tbl>
      <w:tblPr>
        <w:tblStyle w:val="TableGrid"/>
        <w:tblW w:w="0" w:type="auto"/>
        <w:tblLook w:val="04A0" w:firstRow="1" w:lastRow="0" w:firstColumn="1" w:lastColumn="0" w:noHBand="0" w:noVBand="1"/>
      </w:tblPr>
      <w:tblGrid>
        <w:gridCol w:w="2664"/>
        <w:gridCol w:w="990"/>
        <w:gridCol w:w="1076"/>
        <w:gridCol w:w="1148"/>
        <w:gridCol w:w="1080"/>
        <w:gridCol w:w="1170"/>
        <w:gridCol w:w="1080"/>
      </w:tblGrid>
      <w:tr w:rsidR="00BB5E94" w:rsidRPr="00BB5E94" w14:paraId="7C440008" w14:textId="61F4702B" w:rsidTr="00BB5E94">
        <w:tc>
          <w:tcPr>
            <w:tcW w:w="2664" w:type="dxa"/>
          </w:tcPr>
          <w:p w14:paraId="33F29C69" w14:textId="77777777" w:rsidR="00BB5E94" w:rsidRPr="00BB5E94" w:rsidRDefault="00BB5E94" w:rsidP="00984CA7">
            <w:pPr>
              <w:rPr>
                <w:rFonts w:cstheme="minorHAnsi"/>
                <w:b/>
                <w:bCs/>
                <w:sz w:val="20"/>
                <w:szCs w:val="20"/>
              </w:rPr>
            </w:pPr>
          </w:p>
        </w:tc>
        <w:tc>
          <w:tcPr>
            <w:tcW w:w="2000" w:type="dxa"/>
            <w:gridSpan w:val="2"/>
          </w:tcPr>
          <w:p w14:paraId="7D72312E" w14:textId="261EA2DE" w:rsidR="00BB5E94" w:rsidRPr="00BB5E94" w:rsidRDefault="00BB5E94" w:rsidP="00855A07">
            <w:pPr>
              <w:jc w:val="center"/>
              <w:rPr>
                <w:rFonts w:cstheme="minorHAnsi"/>
                <w:b/>
                <w:bCs/>
                <w:sz w:val="20"/>
                <w:szCs w:val="20"/>
              </w:rPr>
            </w:pPr>
            <w:r w:rsidRPr="00BB5E94">
              <w:rPr>
                <w:rFonts w:cstheme="minorHAnsi"/>
                <w:b/>
                <w:bCs/>
                <w:sz w:val="20"/>
                <w:szCs w:val="20"/>
              </w:rPr>
              <w:t>2013</w:t>
            </w:r>
          </w:p>
        </w:tc>
        <w:tc>
          <w:tcPr>
            <w:tcW w:w="4478" w:type="dxa"/>
            <w:gridSpan w:val="4"/>
          </w:tcPr>
          <w:p w14:paraId="797FF9CF" w14:textId="73E3A640" w:rsidR="00BB5E94" w:rsidRPr="00BB5E94" w:rsidRDefault="00BB5E94" w:rsidP="00855A07">
            <w:pPr>
              <w:jc w:val="center"/>
              <w:rPr>
                <w:rFonts w:cstheme="minorHAnsi"/>
                <w:b/>
                <w:bCs/>
                <w:sz w:val="20"/>
                <w:szCs w:val="20"/>
              </w:rPr>
            </w:pPr>
            <w:r w:rsidRPr="00BB5E94">
              <w:rPr>
                <w:rFonts w:cstheme="minorHAnsi"/>
                <w:b/>
                <w:bCs/>
                <w:sz w:val="20"/>
                <w:szCs w:val="20"/>
              </w:rPr>
              <w:t>2019</w:t>
            </w:r>
          </w:p>
        </w:tc>
      </w:tr>
      <w:tr w:rsidR="00BB5E94" w:rsidRPr="00BB5E94" w14:paraId="020D5B68" w14:textId="3D9F7262" w:rsidTr="00BB5E94">
        <w:tc>
          <w:tcPr>
            <w:tcW w:w="2664" w:type="dxa"/>
          </w:tcPr>
          <w:p w14:paraId="02BC2318" w14:textId="59768089" w:rsidR="00BB5E94" w:rsidRPr="00BB5E94" w:rsidRDefault="00BB5E94" w:rsidP="00984CA7">
            <w:pPr>
              <w:rPr>
                <w:rFonts w:cstheme="minorHAnsi"/>
                <w:b/>
                <w:bCs/>
                <w:sz w:val="20"/>
                <w:szCs w:val="20"/>
              </w:rPr>
            </w:pPr>
            <w:r w:rsidRPr="00BB5E94">
              <w:rPr>
                <w:rFonts w:cstheme="minorHAnsi"/>
                <w:b/>
                <w:bCs/>
                <w:sz w:val="20"/>
                <w:szCs w:val="20"/>
              </w:rPr>
              <w:t>Region</w:t>
            </w:r>
          </w:p>
        </w:tc>
        <w:tc>
          <w:tcPr>
            <w:tcW w:w="924" w:type="dxa"/>
          </w:tcPr>
          <w:p w14:paraId="4D81433C" w14:textId="799051EC" w:rsidR="00BB5E94" w:rsidRPr="00BB5E94" w:rsidRDefault="00BB5E94" w:rsidP="00855A07">
            <w:pPr>
              <w:jc w:val="center"/>
              <w:rPr>
                <w:rFonts w:cstheme="minorHAnsi"/>
                <w:b/>
                <w:bCs/>
                <w:sz w:val="20"/>
                <w:szCs w:val="20"/>
              </w:rPr>
            </w:pPr>
            <w:r w:rsidRPr="00BB5E94">
              <w:rPr>
                <w:rFonts w:cstheme="minorHAnsi"/>
                <w:b/>
                <w:bCs/>
                <w:sz w:val="20"/>
                <w:szCs w:val="20"/>
              </w:rPr>
              <w:t>Capacity</w:t>
            </w:r>
            <w:r w:rsidR="00906BF7">
              <w:rPr>
                <w:rStyle w:val="FootnoteReference"/>
                <w:rFonts w:cstheme="minorHAnsi"/>
                <w:b/>
                <w:bCs/>
                <w:sz w:val="20"/>
                <w:szCs w:val="20"/>
              </w:rPr>
              <w:footnoteReference w:id="2"/>
            </w:r>
          </w:p>
        </w:tc>
        <w:tc>
          <w:tcPr>
            <w:tcW w:w="1076" w:type="dxa"/>
          </w:tcPr>
          <w:p w14:paraId="5E032852" w14:textId="614A01DF" w:rsidR="00BB5E94" w:rsidRPr="00BB5E94" w:rsidRDefault="00BB5E94" w:rsidP="00855A07">
            <w:pPr>
              <w:jc w:val="center"/>
              <w:rPr>
                <w:rFonts w:cstheme="minorHAnsi"/>
                <w:b/>
                <w:bCs/>
                <w:sz w:val="20"/>
                <w:szCs w:val="20"/>
              </w:rPr>
            </w:pPr>
            <w:r w:rsidRPr="00BB5E94">
              <w:rPr>
                <w:rFonts w:cstheme="minorHAnsi"/>
                <w:b/>
                <w:bCs/>
                <w:sz w:val="20"/>
                <w:szCs w:val="20"/>
              </w:rPr>
              <w:t>Recipients</w:t>
            </w:r>
          </w:p>
        </w:tc>
        <w:tc>
          <w:tcPr>
            <w:tcW w:w="1148" w:type="dxa"/>
          </w:tcPr>
          <w:p w14:paraId="069AF749" w14:textId="6A26E91F" w:rsidR="00BB5E94" w:rsidRPr="00BB5E94" w:rsidRDefault="00BB5E94" w:rsidP="00855A07">
            <w:pPr>
              <w:jc w:val="center"/>
              <w:rPr>
                <w:rFonts w:cstheme="minorHAnsi"/>
                <w:b/>
                <w:bCs/>
                <w:sz w:val="20"/>
                <w:szCs w:val="20"/>
              </w:rPr>
            </w:pPr>
            <w:r w:rsidRPr="00BB5E94">
              <w:rPr>
                <w:rFonts w:cstheme="minorHAnsi"/>
                <w:b/>
                <w:bCs/>
                <w:sz w:val="20"/>
                <w:szCs w:val="20"/>
              </w:rPr>
              <w:t>Capacity</w:t>
            </w:r>
          </w:p>
        </w:tc>
        <w:tc>
          <w:tcPr>
            <w:tcW w:w="1080" w:type="dxa"/>
          </w:tcPr>
          <w:p w14:paraId="7658ED4E" w14:textId="3609BA77" w:rsidR="00BB5E94" w:rsidRPr="00BB5E94" w:rsidRDefault="00BB5E94" w:rsidP="00855A07">
            <w:pPr>
              <w:jc w:val="center"/>
              <w:rPr>
                <w:rFonts w:cstheme="minorHAnsi"/>
                <w:b/>
                <w:bCs/>
                <w:sz w:val="20"/>
                <w:szCs w:val="20"/>
              </w:rPr>
            </w:pPr>
            <w:r w:rsidRPr="00BB5E94">
              <w:rPr>
                <w:rFonts w:cstheme="minorHAnsi"/>
                <w:b/>
                <w:bCs/>
                <w:sz w:val="20"/>
                <w:szCs w:val="20"/>
              </w:rPr>
              <w:t xml:space="preserve">% Change </w:t>
            </w:r>
          </w:p>
        </w:tc>
        <w:tc>
          <w:tcPr>
            <w:tcW w:w="1170" w:type="dxa"/>
          </w:tcPr>
          <w:p w14:paraId="5D47D029" w14:textId="4C1C5796" w:rsidR="00BB5E94" w:rsidRPr="00BB5E94" w:rsidRDefault="00BB5E94" w:rsidP="00855A07">
            <w:pPr>
              <w:jc w:val="center"/>
              <w:rPr>
                <w:rFonts w:cstheme="minorHAnsi"/>
                <w:b/>
                <w:bCs/>
                <w:sz w:val="20"/>
                <w:szCs w:val="20"/>
              </w:rPr>
            </w:pPr>
            <w:r w:rsidRPr="00BB5E94">
              <w:rPr>
                <w:rFonts w:cstheme="minorHAnsi"/>
                <w:b/>
                <w:bCs/>
                <w:sz w:val="20"/>
                <w:szCs w:val="20"/>
              </w:rPr>
              <w:t>Recipients</w:t>
            </w:r>
          </w:p>
        </w:tc>
        <w:tc>
          <w:tcPr>
            <w:tcW w:w="1080" w:type="dxa"/>
          </w:tcPr>
          <w:p w14:paraId="28F400EE" w14:textId="1C293FDE" w:rsidR="00BB5E94" w:rsidRPr="00BB5E94" w:rsidRDefault="00BB5E94" w:rsidP="00855A07">
            <w:pPr>
              <w:jc w:val="center"/>
              <w:rPr>
                <w:rFonts w:cstheme="minorHAnsi"/>
                <w:b/>
                <w:bCs/>
                <w:sz w:val="20"/>
                <w:szCs w:val="20"/>
              </w:rPr>
            </w:pPr>
            <w:r w:rsidRPr="00BB5E94">
              <w:rPr>
                <w:rFonts w:cstheme="minorHAnsi"/>
                <w:b/>
                <w:bCs/>
                <w:sz w:val="20"/>
                <w:szCs w:val="20"/>
              </w:rPr>
              <w:t>% Change</w:t>
            </w:r>
          </w:p>
        </w:tc>
      </w:tr>
      <w:tr w:rsidR="00BB5E94" w:rsidRPr="00BB5E94" w14:paraId="28DD1C39" w14:textId="33D47072" w:rsidTr="00BB5E94">
        <w:tc>
          <w:tcPr>
            <w:tcW w:w="2664" w:type="dxa"/>
          </w:tcPr>
          <w:p w14:paraId="5F3C8CAD" w14:textId="46EC7293" w:rsidR="00BB5E94" w:rsidRPr="00BB5E94" w:rsidRDefault="00BB5E94" w:rsidP="00984CA7">
            <w:pPr>
              <w:rPr>
                <w:rFonts w:cstheme="minorHAnsi"/>
                <w:sz w:val="20"/>
                <w:szCs w:val="20"/>
              </w:rPr>
            </w:pPr>
            <w:r w:rsidRPr="00BB5E94">
              <w:rPr>
                <w:rFonts w:cstheme="minorHAnsi"/>
                <w:sz w:val="20"/>
                <w:szCs w:val="20"/>
              </w:rPr>
              <w:t>Western Region</w:t>
            </w:r>
          </w:p>
        </w:tc>
        <w:tc>
          <w:tcPr>
            <w:tcW w:w="924" w:type="dxa"/>
          </w:tcPr>
          <w:p w14:paraId="71D38BF4" w14:textId="31C666DF"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3,477 </w:t>
            </w:r>
          </w:p>
        </w:tc>
        <w:tc>
          <w:tcPr>
            <w:tcW w:w="1076" w:type="dxa"/>
          </w:tcPr>
          <w:p w14:paraId="2C0ACAB2" w14:textId="3F9E5C99"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105,896 </w:t>
            </w:r>
          </w:p>
        </w:tc>
        <w:tc>
          <w:tcPr>
            <w:tcW w:w="1148" w:type="dxa"/>
          </w:tcPr>
          <w:p w14:paraId="30EDAB9B" w14:textId="109C08DF"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3,245</w:t>
            </w:r>
          </w:p>
        </w:tc>
        <w:tc>
          <w:tcPr>
            <w:tcW w:w="1080" w:type="dxa"/>
          </w:tcPr>
          <w:p w14:paraId="02580CA5" w14:textId="106229E5" w:rsidR="00BB5E94" w:rsidRPr="00BB5E94" w:rsidRDefault="00BB5E94" w:rsidP="00984CA7">
            <w:pPr>
              <w:rPr>
                <w:rFonts w:ascii="Calibri" w:hAnsi="Calibri" w:cs="Calibri"/>
                <w:sz w:val="20"/>
                <w:szCs w:val="20"/>
              </w:rPr>
            </w:pPr>
            <w:r w:rsidRPr="00BB5E94">
              <w:rPr>
                <w:rFonts w:ascii="Calibri" w:hAnsi="Calibri" w:cs="Calibri"/>
                <w:sz w:val="20"/>
                <w:szCs w:val="20"/>
              </w:rPr>
              <w:t>-6.6%</w:t>
            </w:r>
          </w:p>
        </w:tc>
        <w:tc>
          <w:tcPr>
            <w:tcW w:w="1170" w:type="dxa"/>
          </w:tcPr>
          <w:p w14:paraId="38532A54" w14:textId="4C94C50B" w:rsidR="00BB5E94" w:rsidRPr="00BB5E94" w:rsidRDefault="00BB5E94" w:rsidP="00984CA7">
            <w:pPr>
              <w:rPr>
                <w:rFonts w:ascii="Calibri" w:hAnsi="Calibri" w:cs="Calibri"/>
                <w:sz w:val="20"/>
                <w:szCs w:val="20"/>
              </w:rPr>
            </w:pPr>
            <w:r w:rsidRPr="00BB5E94">
              <w:rPr>
                <w:rFonts w:ascii="Calibri" w:hAnsi="Calibri" w:cs="Calibri"/>
                <w:sz w:val="20"/>
                <w:szCs w:val="20"/>
              </w:rPr>
              <w:t xml:space="preserve">  144,845 </w:t>
            </w:r>
          </w:p>
        </w:tc>
        <w:tc>
          <w:tcPr>
            <w:tcW w:w="1080" w:type="dxa"/>
          </w:tcPr>
          <w:p w14:paraId="77EA91EA" w14:textId="65106DF6" w:rsidR="00BB5E94" w:rsidRPr="00BB5E94" w:rsidRDefault="00BB5E94" w:rsidP="00984CA7">
            <w:pPr>
              <w:rPr>
                <w:rFonts w:ascii="Calibri" w:hAnsi="Calibri" w:cs="Calibri"/>
                <w:sz w:val="20"/>
                <w:szCs w:val="20"/>
              </w:rPr>
            </w:pPr>
            <w:r w:rsidRPr="00BB5E94">
              <w:rPr>
                <w:rFonts w:ascii="Calibri" w:hAnsi="Calibri" w:cs="Calibri"/>
                <w:sz w:val="20"/>
                <w:szCs w:val="20"/>
              </w:rPr>
              <w:t>+36.7%</w:t>
            </w:r>
          </w:p>
        </w:tc>
      </w:tr>
      <w:tr w:rsidR="00BB5E94" w:rsidRPr="00BB5E94" w14:paraId="718F0D4B" w14:textId="7CECA94D" w:rsidTr="00BB5E94">
        <w:tc>
          <w:tcPr>
            <w:tcW w:w="2664" w:type="dxa"/>
          </w:tcPr>
          <w:p w14:paraId="4590720D" w14:textId="274033C1" w:rsidR="00BB5E94" w:rsidRPr="00BB5E94" w:rsidRDefault="00BB5E94" w:rsidP="00984CA7">
            <w:pPr>
              <w:rPr>
                <w:rFonts w:cstheme="minorHAnsi"/>
                <w:sz w:val="20"/>
                <w:szCs w:val="20"/>
              </w:rPr>
            </w:pPr>
            <w:r w:rsidRPr="00BB5E94">
              <w:rPr>
                <w:rFonts w:cstheme="minorHAnsi"/>
                <w:sz w:val="20"/>
                <w:szCs w:val="20"/>
              </w:rPr>
              <w:t>Central Region</w:t>
            </w:r>
          </w:p>
        </w:tc>
        <w:tc>
          <w:tcPr>
            <w:tcW w:w="924" w:type="dxa"/>
          </w:tcPr>
          <w:p w14:paraId="0F33BED3" w14:textId="132A002E"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1,320</w:t>
            </w:r>
          </w:p>
        </w:tc>
        <w:tc>
          <w:tcPr>
            <w:tcW w:w="1076" w:type="dxa"/>
          </w:tcPr>
          <w:p w14:paraId="15C707E3" w14:textId="65CBD1C2"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62,263 </w:t>
            </w:r>
          </w:p>
        </w:tc>
        <w:tc>
          <w:tcPr>
            <w:tcW w:w="1148" w:type="dxa"/>
          </w:tcPr>
          <w:p w14:paraId="5174312B" w14:textId="350ED9D1"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1,319 </w:t>
            </w:r>
          </w:p>
        </w:tc>
        <w:tc>
          <w:tcPr>
            <w:tcW w:w="1080" w:type="dxa"/>
          </w:tcPr>
          <w:p w14:paraId="4FAA9906" w14:textId="1A51CE2E" w:rsidR="00BB5E94" w:rsidRPr="00BB5E94" w:rsidRDefault="00BB5E94" w:rsidP="00984CA7">
            <w:pPr>
              <w:rPr>
                <w:rFonts w:ascii="Calibri" w:hAnsi="Calibri" w:cs="Calibri"/>
                <w:sz w:val="20"/>
                <w:szCs w:val="20"/>
              </w:rPr>
            </w:pPr>
            <w:r w:rsidRPr="00BB5E94">
              <w:rPr>
                <w:rFonts w:ascii="Calibri" w:hAnsi="Calibri" w:cs="Calibri"/>
                <w:sz w:val="20"/>
                <w:szCs w:val="20"/>
              </w:rPr>
              <w:t>-0.1%</w:t>
            </w:r>
          </w:p>
        </w:tc>
        <w:tc>
          <w:tcPr>
            <w:tcW w:w="1170" w:type="dxa"/>
          </w:tcPr>
          <w:p w14:paraId="2BD0C690" w14:textId="06E9BAA9" w:rsidR="00BB5E94" w:rsidRPr="00BB5E94" w:rsidRDefault="00BB5E94" w:rsidP="00984CA7">
            <w:pPr>
              <w:rPr>
                <w:rFonts w:ascii="Calibri" w:hAnsi="Calibri" w:cs="Calibri"/>
                <w:sz w:val="20"/>
                <w:szCs w:val="20"/>
              </w:rPr>
            </w:pPr>
            <w:r w:rsidRPr="00BB5E94">
              <w:rPr>
                <w:rFonts w:ascii="Calibri" w:hAnsi="Calibri" w:cs="Calibri"/>
                <w:sz w:val="20"/>
                <w:szCs w:val="20"/>
              </w:rPr>
              <w:t xml:space="preserve">    86,820 </w:t>
            </w:r>
          </w:p>
        </w:tc>
        <w:tc>
          <w:tcPr>
            <w:tcW w:w="1080" w:type="dxa"/>
          </w:tcPr>
          <w:p w14:paraId="1E27F360" w14:textId="423A3E38" w:rsidR="00BB5E94" w:rsidRPr="00BB5E94" w:rsidRDefault="00BB5E94" w:rsidP="00984CA7">
            <w:pPr>
              <w:rPr>
                <w:rFonts w:ascii="Calibri" w:hAnsi="Calibri" w:cs="Calibri"/>
                <w:sz w:val="20"/>
                <w:szCs w:val="20"/>
              </w:rPr>
            </w:pPr>
            <w:r w:rsidRPr="00BB5E94">
              <w:rPr>
                <w:rFonts w:ascii="Calibri" w:hAnsi="Calibri" w:cs="Calibri"/>
                <w:sz w:val="20"/>
                <w:szCs w:val="20"/>
              </w:rPr>
              <w:t>+39.4%</w:t>
            </w:r>
          </w:p>
        </w:tc>
      </w:tr>
      <w:tr w:rsidR="00BB5E94" w:rsidRPr="00BB5E94" w14:paraId="1EEF1791" w14:textId="7DB05BD9" w:rsidTr="00BB5E94">
        <w:tc>
          <w:tcPr>
            <w:tcW w:w="2664" w:type="dxa"/>
          </w:tcPr>
          <w:p w14:paraId="17FDEBD0" w14:textId="02AF1DC1" w:rsidR="00BB5E94" w:rsidRPr="00BB5E94" w:rsidRDefault="00BB5E94" w:rsidP="00984CA7">
            <w:pPr>
              <w:rPr>
                <w:rFonts w:cstheme="minorHAnsi"/>
                <w:sz w:val="20"/>
                <w:szCs w:val="20"/>
              </w:rPr>
            </w:pPr>
            <w:r w:rsidRPr="00BB5E94">
              <w:rPr>
                <w:rFonts w:cstheme="minorHAnsi"/>
                <w:sz w:val="20"/>
                <w:szCs w:val="20"/>
              </w:rPr>
              <w:t>Hudson River Region</w:t>
            </w:r>
          </w:p>
        </w:tc>
        <w:tc>
          <w:tcPr>
            <w:tcW w:w="924" w:type="dxa"/>
          </w:tcPr>
          <w:p w14:paraId="53E4B9C6" w14:textId="25B650A5"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3,956 </w:t>
            </w:r>
          </w:p>
        </w:tc>
        <w:tc>
          <w:tcPr>
            <w:tcW w:w="1076" w:type="dxa"/>
          </w:tcPr>
          <w:p w14:paraId="2D022661" w14:textId="46728B3B"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62,363 </w:t>
            </w:r>
          </w:p>
        </w:tc>
        <w:tc>
          <w:tcPr>
            <w:tcW w:w="1148" w:type="dxa"/>
          </w:tcPr>
          <w:p w14:paraId="034C3DE4" w14:textId="0F864498"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3,870 </w:t>
            </w:r>
          </w:p>
        </w:tc>
        <w:tc>
          <w:tcPr>
            <w:tcW w:w="1080" w:type="dxa"/>
          </w:tcPr>
          <w:p w14:paraId="1F032708" w14:textId="6AADEFCA" w:rsidR="00BB5E94" w:rsidRPr="00BB5E94" w:rsidRDefault="00BB5E94" w:rsidP="00984CA7">
            <w:pPr>
              <w:rPr>
                <w:rFonts w:ascii="Calibri" w:hAnsi="Calibri" w:cs="Calibri"/>
                <w:color w:val="000000"/>
                <w:sz w:val="20"/>
                <w:szCs w:val="20"/>
              </w:rPr>
            </w:pPr>
            <w:r>
              <w:rPr>
                <w:rFonts w:ascii="Calibri" w:hAnsi="Calibri" w:cs="Calibri"/>
                <w:color w:val="000000"/>
                <w:sz w:val="20"/>
                <w:szCs w:val="20"/>
              </w:rPr>
              <w:t>+2.0%</w:t>
            </w:r>
          </w:p>
        </w:tc>
        <w:tc>
          <w:tcPr>
            <w:tcW w:w="1170" w:type="dxa"/>
          </w:tcPr>
          <w:p w14:paraId="566F50ED" w14:textId="5EBD4B6B"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69,962 </w:t>
            </w:r>
          </w:p>
        </w:tc>
        <w:tc>
          <w:tcPr>
            <w:tcW w:w="1080" w:type="dxa"/>
          </w:tcPr>
          <w:p w14:paraId="71C099F3" w14:textId="3F51E324" w:rsidR="00BB5E94" w:rsidRPr="00BB5E94" w:rsidRDefault="00BB5E94" w:rsidP="00984CA7">
            <w:pPr>
              <w:rPr>
                <w:rFonts w:ascii="Calibri" w:hAnsi="Calibri" w:cs="Calibri"/>
                <w:color w:val="000000"/>
                <w:sz w:val="20"/>
                <w:szCs w:val="20"/>
              </w:rPr>
            </w:pPr>
            <w:r>
              <w:rPr>
                <w:rFonts w:ascii="Calibri" w:hAnsi="Calibri" w:cs="Calibri"/>
                <w:color w:val="000000"/>
                <w:sz w:val="20"/>
                <w:szCs w:val="20"/>
              </w:rPr>
              <w:t>+12.2%</w:t>
            </w:r>
          </w:p>
        </w:tc>
      </w:tr>
      <w:tr w:rsidR="00BB5E94" w:rsidRPr="00BB5E94" w14:paraId="55B8C4FA" w14:textId="04DF04E1" w:rsidTr="00BB5E94">
        <w:tc>
          <w:tcPr>
            <w:tcW w:w="2664" w:type="dxa"/>
          </w:tcPr>
          <w:p w14:paraId="7355AD31" w14:textId="5B2FC7EF" w:rsidR="00BB5E94" w:rsidRPr="00BB5E94" w:rsidRDefault="00BB5E94" w:rsidP="00984CA7">
            <w:pPr>
              <w:rPr>
                <w:rFonts w:cstheme="minorHAnsi"/>
                <w:sz w:val="20"/>
                <w:szCs w:val="20"/>
              </w:rPr>
            </w:pPr>
            <w:r w:rsidRPr="00BB5E94">
              <w:rPr>
                <w:rFonts w:cstheme="minorHAnsi"/>
                <w:sz w:val="20"/>
                <w:szCs w:val="20"/>
              </w:rPr>
              <w:t>New York City</w:t>
            </w:r>
          </w:p>
        </w:tc>
        <w:tc>
          <w:tcPr>
            <w:tcW w:w="924" w:type="dxa"/>
          </w:tcPr>
          <w:p w14:paraId="7D81B775" w14:textId="2E1DD482"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8,482 </w:t>
            </w:r>
          </w:p>
        </w:tc>
        <w:tc>
          <w:tcPr>
            <w:tcW w:w="1076" w:type="dxa"/>
          </w:tcPr>
          <w:p w14:paraId="494AB6C5" w14:textId="41441FFA"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238,205 </w:t>
            </w:r>
          </w:p>
        </w:tc>
        <w:tc>
          <w:tcPr>
            <w:tcW w:w="1148" w:type="dxa"/>
          </w:tcPr>
          <w:p w14:paraId="38E21E7F" w14:textId="468722B1"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8,807 </w:t>
            </w:r>
          </w:p>
        </w:tc>
        <w:tc>
          <w:tcPr>
            <w:tcW w:w="1080" w:type="dxa"/>
          </w:tcPr>
          <w:p w14:paraId="497EC102" w14:textId="348549BC" w:rsidR="00BB5E94" w:rsidRPr="00BB5E94" w:rsidRDefault="00BB5E94" w:rsidP="00984CA7">
            <w:pPr>
              <w:rPr>
                <w:rFonts w:ascii="Calibri" w:hAnsi="Calibri" w:cs="Calibri"/>
                <w:color w:val="000000"/>
                <w:sz w:val="20"/>
                <w:szCs w:val="20"/>
              </w:rPr>
            </w:pPr>
            <w:r>
              <w:rPr>
                <w:rFonts w:ascii="Calibri" w:hAnsi="Calibri" w:cs="Calibri"/>
                <w:color w:val="000000"/>
                <w:sz w:val="20"/>
                <w:szCs w:val="20"/>
              </w:rPr>
              <w:t>+3.8%</w:t>
            </w:r>
          </w:p>
        </w:tc>
        <w:tc>
          <w:tcPr>
            <w:tcW w:w="1170" w:type="dxa"/>
          </w:tcPr>
          <w:p w14:paraId="647C6811" w14:textId="56FD2B9B"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301,954 </w:t>
            </w:r>
          </w:p>
        </w:tc>
        <w:tc>
          <w:tcPr>
            <w:tcW w:w="1080" w:type="dxa"/>
          </w:tcPr>
          <w:p w14:paraId="7ACADA1E" w14:textId="6509EE5E" w:rsidR="00BB5E94" w:rsidRPr="00BB5E94" w:rsidRDefault="00BB5E94" w:rsidP="00984CA7">
            <w:pPr>
              <w:rPr>
                <w:rFonts w:ascii="Calibri" w:hAnsi="Calibri" w:cs="Calibri"/>
                <w:color w:val="000000"/>
                <w:sz w:val="20"/>
                <w:szCs w:val="20"/>
              </w:rPr>
            </w:pPr>
            <w:r>
              <w:rPr>
                <w:rFonts w:ascii="Calibri" w:hAnsi="Calibri" w:cs="Calibri"/>
                <w:color w:val="000000"/>
                <w:sz w:val="20"/>
                <w:szCs w:val="20"/>
              </w:rPr>
              <w:t>+26.7%</w:t>
            </w:r>
          </w:p>
        </w:tc>
      </w:tr>
      <w:tr w:rsidR="00BB5E94" w:rsidRPr="00BB5E94" w14:paraId="2A651B9C" w14:textId="531E9B72" w:rsidTr="00BB5E94">
        <w:tc>
          <w:tcPr>
            <w:tcW w:w="2664" w:type="dxa"/>
          </w:tcPr>
          <w:p w14:paraId="2F394C21" w14:textId="31A71D39" w:rsidR="00BB5E94" w:rsidRPr="00BB5E94" w:rsidRDefault="00BB5E94" w:rsidP="00984CA7">
            <w:pPr>
              <w:rPr>
                <w:rFonts w:cstheme="minorHAnsi"/>
                <w:sz w:val="20"/>
                <w:szCs w:val="20"/>
              </w:rPr>
            </w:pPr>
            <w:r w:rsidRPr="00BB5E94">
              <w:rPr>
                <w:rFonts w:cstheme="minorHAnsi"/>
                <w:sz w:val="20"/>
                <w:szCs w:val="20"/>
              </w:rPr>
              <w:t>Long Island</w:t>
            </w:r>
          </w:p>
        </w:tc>
        <w:tc>
          <w:tcPr>
            <w:tcW w:w="924" w:type="dxa"/>
          </w:tcPr>
          <w:p w14:paraId="69E5910E" w14:textId="3482F3BC"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2,687 </w:t>
            </w:r>
          </w:p>
        </w:tc>
        <w:tc>
          <w:tcPr>
            <w:tcW w:w="1076" w:type="dxa"/>
          </w:tcPr>
          <w:p w14:paraId="3F68AA0F" w14:textId="5A9BB756"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29,157 </w:t>
            </w:r>
          </w:p>
        </w:tc>
        <w:tc>
          <w:tcPr>
            <w:tcW w:w="1148" w:type="dxa"/>
          </w:tcPr>
          <w:p w14:paraId="442A6B59" w14:textId="0EFD41DA"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2,691 </w:t>
            </w:r>
          </w:p>
        </w:tc>
        <w:tc>
          <w:tcPr>
            <w:tcW w:w="1080" w:type="dxa"/>
          </w:tcPr>
          <w:p w14:paraId="2CCEC97C" w14:textId="5704A0E6" w:rsidR="00BB5E94" w:rsidRPr="00BB5E94" w:rsidRDefault="00BB5E94" w:rsidP="00984CA7">
            <w:pPr>
              <w:rPr>
                <w:rFonts w:ascii="Calibri" w:hAnsi="Calibri" w:cs="Calibri"/>
                <w:color w:val="000000"/>
                <w:sz w:val="20"/>
                <w:szCs w:val="20"/>
              </w:rPr>
            </w:pPr>
            <w:r>
              <w:rPr>
                <w:rFonts w:ascii="Calibri" w:hAnsi="Calibri" w:cs="Calibri"/>
                <w:color w:val="000000"/>
                <w:sz w:val="20"/>
                <w:szCs w:val="20"/>
              </w:rPr>
              <w:t>+0.1%</w:t>
            </w:r>
          </w:p>
        </w:tc>
        <w:tc>
          <w:tcPr>
            <w:tcW w:w="1170" w:type="dxa"/>
          </w:tcPr>
          <w:p w14:paraId="1013D78F" w14:textId="1EBF528E" w:rsidR="00BB5E94" w:rsidRPr="00BB5E94" w:rsidRDefault="00BB5E94" w:rsidP="00984CA7">
            <w:pPr>
              <w:rPr>
                <w:rFonts w:ascii="Calibri" w:hAnsi="Calibri" w:cs="Calibri"/>
                <w:color w:val="000000"/>
                <w:sz w:val="20"/>
                <w:szCs w:val="20"/>
              </w:rPr>
            </w:pPr>
            <w:r w:rsidRPr="00BB5E94">
              <w:rPr>
                <w:rFonts w:ascii="Calibri" w:hAnsi="Calibri" w:cs="Calibri"/>
                <w:color w:val="000000"/>
                <w:sz w:val="20"/>
                <w:szCs w:val="20"/>
              </w:rPr>
              <w:t xml:space="preserve">    37,388 </w:t>
            </w:r>
          </w:p>
        </w:tc>
        <w:tc>
          <w:tcPr>
            <w:tcW w:w="1080" w:type="dxa"/>
          </w:tcPr>
          <w:p w14:paraId="583E49A4" w14:textId="7AAC3160" w:rsidR="00BB5E94" w:rsidRPr="00BB5E94" w:rsidRDefault="00BB5E94" w:rsidP="00984CA7">
            <w:pPr>
              <w:rPr>
                <w:rFonts w:ascii="Calibri" w:hAnsi="Calibri" w:cs="Calibri"/>
                <w:color w:val="000000"/>
                <w:sz w:val="20"/>
                <w:szCs w:val="20"/>
              </w:rPr>
            </w:pPr>
            <w:r>
              <w:rPr>
                <w:rFonts w:ascii="Calibri" w:hAnsi="Calibri" w:cs="Calibri"/>
                <w:color w:val="000000"/>
                <w:sz w:val="20"/>
                <w:szCs w:val="20"/>
              </w:rPr>
              <w:t>+28.2%</w:t>
            </w:r>
          </w:p>
        </w:tc>
      </w:tr>
    </w:tbl>
    <w:p w14:paraId="45D88098" w14:textId="77777777" w:rsidR="00BB5E94" w:rsidRDefault="00BB5E94" w:rsidP="00207577">
      <w:pPr>
        <w:ind w:right="-630"/>
        <w:rPr>
          <w:b/>
          <w:bCs/>
          <w:u w:val="single"/>
        </w:rPr>
      </w:pPr>
    </w:p>
    <w:sectPr w:rsidR="00BB5E94" w:rsidSect="00207577">
      <w:headerReference w:type="default" r:id="rId7"/>
      <w:footerReference w:type="default" r:id="rId8"/>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67E73" w14:textId="77777777" w:rsidR="008C67F1" w:rsidRDefault="008C67F1" w:rsidP="00C01256">
      <w:pPr>
        <w:spacing w:after="0" w:line="240" w:lineRule="auto"/>
      </w:pPr>
      <w:r>
        <w:separator/>
      </w:r>
    </w:p>
  </w:endnote>
  <w:endnote w:type="continuationSeparator" w:id="0">
    <w:p w14:paraId="3DE6CBA1" w14:textId="77777777" w:rsidR="008C67F1" w:rsidRDefault="008C67F1" w:rsidP="00C0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743228"/>
      <w:docPartObj>
        <w:docPartGallery w:val="Page Numbers (Bottom of Page)"/>
        <w:docPartUnique/>
      </w:docPartObj>
    </w:sdtPr>
    <w:sdtEndPr/>
    <w:sdtContent>
      <w:sdt>
        <w:sdtPr>
          <w:id w:val="-1769616900"/>
          <w:docPartObj>
            <w:docPartGallery w:val="Page Numbers (Top of Page)"/>
            <w:docPartUnique/>
          </w:docPartObj>
        </w:sdtPr>
        <w:sdtEndPr/>
        <w:sdtContent>
          <w:p w14:paraId="1302B2EC" w14:textId="279EBE52" w:rsidR="0075192C" w:rsidRDefault="0086505A" w:rsidP="0086505A">
            <w:pPr>
              <w:pStyle w:val="Footer"/>
              <w:tabs>
                <w:tab w:val="clear" w:pos="4680"/>
              </w:tabs>
            </w:pPr>
            <w:r>
              <w:t>November 17, 2021</w:t>
            </w:r>
            <w:proofErr w:type="gramStart"/>
            <w:r>
              <w:tab/>
              <w:t xml:space="preserve">  </w:t>
            </w:r>
            <w:r w:rsidR="0075192C">
              <w:t>Page</w:t>
            </w:r>
            <w:proofErr w:type="gramEnd"/>
            <w:r w:rsidR="0075192C">
              <w:t xml:space="preserve"> </w:t>
            </w:r>
            <w:r w:rsidR="0075192C">
              <w:rPr>
                <w:b/>
                <w:bCs/>
                <w:sz w:val="24"/>
                <w:szCs w:val="24"/>
              </w:rPr>
              <w:fldChar w:fldCharType="begin"/>
            </w:r>
            <w:r w:rsidR="0075192C">
              <w:rPr>
                <w:b/>
                <w:bCs/>
              </w:rPr>
              <w:instrText xml:space="preserve"> PAGE </w:instrText>
            </w:r>
            <w:r w:rsidR="0075192C">
              <w:rPr>
                <w:b/>
                <w:bCs/>
                <w:sz w:val="24"/>
                <w:szCs w:val="24"/>
              </w:rPr>
              <w:fldChar w:fldCharType="separate"/>
            </w:r>
            <w:r w:rsidR="009E1DAD">
              <w:rPr>
                <w:b/>
                <w:bCs/>
                <w:noProof/>
              </w:rPr>
              <w:t>1</w:t>
            </w:r>
            <w:r w:rsidR="0075192C">
              <w:rPr>
                <w:b/>
                <w:bCs/>
                <w:sz w:val="24"/>
                <w:szCs w:val="24"/>
              </w:rPr>
              <w:fldChar w:fldCharType="end"/>
            </w:r>
            <w:r w:rsidR="0075192C">
              <w:t xml:space="preserve"> of </w:t>
            </w:r>
            <w:r w:rsidR="0075192C">
              <w:rPr>
                <w:b/>
                <w:bCs/>
                <w:sz w:val="24"/>
                <w:szCs w:val="24"/>
              </w:rPr>
              <w:fldChar w:fldCharType="begin"/>
            </w:r>
            <w:r w:rsidR="0075192C">
              <w:rPr>
                <w:b/>
                <w:bCs/>
              </w:rPr>
              <w:instrText xml:space="preserve"> NUMPAGES  </w:instrText>
            </w:r>
            <w:r w:rsidR="0075192C">
              <w:rPr>
                <w:b/>
                <w:bCs/>
                <w:sz w:val="24"/>
                <w:szCs w:val="24"/>
              </w:rPr>
              <w:fldChar w:fldCharType="separate"/>
            </w:r>
            <w:r w:rsidR="009E1DAD">
              <w:rPr>
                <w:b/>
                <w:bCs/>
                <w:noProof/>
              </w:rPr>
              <w:t>2</w:t>
            </w:r>
            <w:r w:rsidR="0075192C">
              <w:rPr>
                <w:b/>
                <w:bCs/>
                <w:sz w:val="24"/>
                <w:szCs w:val="24"/>
              </w:rPr>
              <w:fldChar w:fldCharType="end"/>
            </w:r>
          </w:p>
        </w:sdtContent>
      </w:sdt>
    </w:sdtContent>
  </w:sdt>
  <w:p w14:paraId="4F6F2CAD" w14:textId="77777777" w:rsidR="0075192C" w:rsidRDefault="0075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EF053" w14:textId="77777777" w:rsidR="008C67F1" w:rsidRDefault="008C67F1" w:rsidP="00C01256">
      <w:pPr>
        <w:spacing w:after="0" w:line="240" w:lineRule="auto"/>
      </w:pPr>
      <w:r>
        <w:separator/>
      </w:r>
    </w:p>
  </w:footnote>
  <w:footnote w:type="continuationSeparator" w:id="0">
    <w:p w14:paraId="6691364C" w14:textId="77777777" w:rsidR="008C67F1" w:rsidRDefault="008C67F1" w:rsidP="00C01256">
      <w:pPr>
        <w:spacing w:after="0" w:line="240" w:lineRule="auto"/>
      </w:pPr>
      <w:r>
        <w:continuationSeparator/>
      </w:r>
    </w:p>
  </w:footnote>
  <w:footnote w:id="1">
    <w:p w14:paraId="7EDE8358" w14:textId="4DEA6D75" w:rsidR="00EF1498" w:rsidRDefault="00EF1498">
      <w:pPr>
        <w:pStyle w:val="FootnoteText"/>
      </w:pPr>
      <w:r>
        <w:rPr>
          <w:rStyle w:val="FootnoteReference"/>
        </w:rPr>
        <w:footnoteRef/>
      </w:r>
      <w:r>
        <w:t xml:space="preserve"> Based on an analysis of 143 NY BH providers’ </w:t>
      </w:r>
      <w:r w:rsidR="00454DE8">
        <w:t>2019 forms 990.</w:t>
      </w:r>
    </w:p>
  </w:footnote>
  <w:footnote w:id="2">
    <w:p w14:paraId="30A3B80E" w14:textId="08E9D87B" w:rsidR="00906BF7" w:rsidRDefault="00906BF7">
      <w:pPr>
        <w:pStyle w:val="FootnoteText"/>
      </w:pPr>
      <w:r>
        <w:rPr>
          <w:rStyle w:val="FootnoteReference"/>
        </w:rPr>
        <w:footnoteRef/>
      </w:r>
      <w:r>
        <w:t xml:space="preserve"> </w:t>
      </w:r>
      <w:r w:rsidR="00207577">
        <w:t>P</w:t>
      </w:r>
      <w:r>
        <w:t>er 100,000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DB75" w14:textId="2784BB03" w:rsidR="00724D1E" w:rsidRPr="00C01256" w:rsidRDefault="00EF1498" w:rsidP="00C01256">
    <w:pPr>
      <w:rPr>
        <w:b/>
        <w:bCs/>
      </w:rPr>
    </w:pPr>
    <w:r w:rsidRPr="0079358C">
      <w:rPr>
        <w:b/>
        <w:bCs/>
        <w:noProof/>
      </w:rPr>
      <w:drawing>
        <wp:anchor distT="0" distB="0" distL="114300" distR="114300" simplePos="0" relativeHeight="251660288" behindDoc="0" locked="0" layoutInCell="1" allowOverlap="1" wp14:anchorId="3D4BAB3B" wp14:editId="10F859A5">
          <wp:simplePos x="0" y="0"/>
          <wp:positionH relativeFrom="column">
            <wp:posOffset>3019425</wp:posOffset>
          </wp:positionH>
          <wp:positionV relativeFrom="paragraph">
            <wp:posOffset>-247650</wp:posOffset>
          </wp:positionV>
          <wp:extent cx="1326515" cy="728980"/>
          <wp:effectExtent l="0" t="0" r="6985" b="0"/>
          <wp:wrapSquare wrapText="bothSides"/>
          <wp:docPr id="61" name="Picture 8" descr="Logo, company name&#10;&#10;Description automatically generated">
            <a:extLst xmlns:a="http://schemas.openxmlformats.org/drawingml/2006/main">
              <a:ext uri="{FF2B5EF4-FFF2-40B4-BE49-F238E27FC236}">
                <a16:creationId xmlns:a16="http://schemas.microsoft.com/office/drawing/2014/main" id="{581696CA-2C02-4AB1-B609-3F0A545AD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581696CA-2C02-4AB1-B609-3F0A545AD30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6515" cy="728980"/>
                  </a:xfrm>
                  <a:prstGeom prst="rect">
                    <a:avLst/>
                  </a:prstGeom>
                </pic:spPr>
              </pic:pic>
            </a:graphicData>
          </a:graphic>
        </wp:anchor>
      </w:drawing>
    </w:r>
    <w:r w:rsidRPr="0079358C">
      <w:rPr>
        <w:noProof/>
      </w:rPr>
      <w:drawing>
        <wp:anchor distT="0" distB="0" distL="114300" distR="114300" simplePos="0" relativeHeight="251658240" behindDoc="0" locked="0" layoutInCell="1" allowOverlap="1" wp14:anchorId="2F5D7BAF" wp14:editId="2E1BA23C">
          <wp:simplePos x="0" y="0"/>
          <wp:positionH relativeFrom="margin">
            <wp:posOffset>5041900</wp:posOffset>
          </wp:positionH>
          <wp:positionV relativeFrom="page">
            <wp:posOffset>62230</wp:posOffset>
          </wp:positionV>
          <wp:extent cx="772795" cy="1041400"/>
          <wp:effectExtent l="0" t="0" r="8255" b="6350"/>
          <wp:wrapSquare wrapText="bothSides"/>
          <wp:docPr id="62" name="4374E783-0C67-4648-83E2-1B836A08F221">
            <a:extLst xmlns:a="http://schemas.openxmlformats.org/drawingml/2006/main">
              <a:ext uri="{FF2B5EF4-FFF2-40B4-BE49-F238E27FC236}">
                <a16:creationId xmlns:a16="http://schemas.microsoft.com/office/drawing/2014/main" id="{6BDDAB30-1852-42C7-9807-737549BE34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374E783-0C67-4648-83E2-1B836A08F221">
                    <a:extLst>
                      <a:ext uri="{FF2B5EF4-FFF2-40B4-BE49-F238E27FC236}">
                        <a16:creationId xmlns:a16="http://schemas.microsoft.com/office/drawing/2014/main" id="{6BDDAB30-1852-42C7-9807-737549BE345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79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7F7" w:rsidRPr="0079358C">
      <w:rPr>
        <w:b/>
        <w:bCs/>
        <w:noProof/>
      </w:rPr>
      <w:drawing>
        <wp:anchor distT="0" distB="0" distL="114300" distR="114300" simplePos="0" relativeHeight="251659264" behindDoc="0" locked="0" layoutInCell="1" allowOverlap="0" wp14:anchorId="51F8623D" wp14:editId="5FC3450B">
          <wp:simplePos x="0" y="0"/>
          <wp:positionH relativeFrom="margin">
            <wp:posOffset>0</wp:posOffset>
          </wp:positionH>
          <wp:positionV relativeFrom="topMargin">
            <wp:posOffset>320040</wp:posOffset>
          </wp:positionV>
          <wp:extent cx="2587752" cy="777240"/>
          <wp:effectExtent l="0" t="0" r="3175" b="3810"/>
          <wp:wrapSquare wrapText="bothSides"/>
          <wp:docPr id="63" name="Picture 63" descr="Text&#10;&#10;Description automatically generated with medium confidence">
            <a:extLst xmlns:a="http://schemas.openxmlformats.org/drawingml/2006/main">
              <a:ext uri="{FF2B5EF4-FFF2-40B4-BE49-F238E27FC236}">
                <a16:creationId xmlns:a16="http://schemas.microsoft.com/office/drawing/2014/main" id="{59967694-0788-4ED2-A868-CDDEB8563E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with medium confidence">
                    <a:extLst>
                      <a:ext uri="{FF2B5EF4-FFF2-40B4-BE49-F238E27FC236}">
                        <a16:creationId xmlns:a16="http://schemas.microsoft.com/office/drawing/2014/main" id="{59967694-0788-4ED2-A868-CDDEB8563E5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587752" cy="777240"/>
                  </a:xfrm>
                  <a:prstGeom prst="rect">
                    <a:avLst/>
                  </a:prstGeom>
                </pic:spPr>
              </pic:pic>
            </a:graphicData>
          </a:graphic>
          <wp14:sizeRelH relativeFrom="margin">
            <wp14:pctWidth>0</wp14:pctWidth>
          </wp14:sizeRelH>
          <wp14:sizeRelV relativeFrom="margin">
            <wp14:pctHeight>0</wp14:pctHeight>
          </wp14:sizeRelV>
        </wp:anchor>
      </w:drawing>
    </w:r>
    <w:r w:rsidR="0079358C" w:rsidRPr="0079358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63BE"/>
    <w:multiLevelType w:val="multilevel"/>
    <w:tmpl w:val="6E9C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40B8B"/>
    <w:multiLevelType w:val="hybridMultilevel"/>
    <w:tmpl w:val="F2EA8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8C5EAF"/>
    <w:multiLevelType w:val="hybridMultilevel"/>
    <w:tmpl w:val="3CB0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2C8F"/>
    <w:multiLevelType w:val="hybridMultilevel"/>
    <w:tmpl w:val="00A88118"/>
    <w:lvl w:ilvl="0" w:tplc="12D619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36BD3"/>
    <w:multiLevelType w:val="hybridMultilevel"/>
    <w:tmpl w:val="D4A2DF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9C37D7"/>
    <w:multiLevelType w:val="hybridMultilevel"/>
    <w:tmpl w:val="ED1007CC"/>
    <w:lvl w:ilvl="0" w:tplc="9F307C98">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11B41"/>
    <w:multiLevelType w:val="hybridMultilevel"/>
    <w:tmpl w:val="AE16EE16"/>
    <w:lvl w:ilvl="0" w:tplc="E9DE971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B2E86"/>
    <w:multiLevelType w:val="hybridMultilevel"/>
    <w:tmpl w:val="F08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47045"/>
    <w:multiLevelType w:val="hybridMultilevel"/>
    <w:tmpl w:val="7C88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56"/>
    <w:rsid w:val="00020509"/>
    <w:rsid w:val="00080007"/>
    <w:rsid w:val="000F741C"/>
    <w:rsid w:val="00190BFE"/>
    <w:rsid w:val="001A10DC"/>
    <w:rsid w:val="001F113F"/>
    <w:rsid w:val="001F4D8B"/>
    <w:rsid w:val="00207577"/>
    <w:rsid w:val="00216B86"/>
    <w:rsid w:val="00263D41"/>
    <w:rsid w:val="00341ECE"/>
    <w:rsid w:val="00353971"/>
    <w:rsid w:val="00367F04"/>
    <w:rsid w:val="00373088"/>
    <w:rsid w:val="0039786F"/>
    <w:rsid w:val="003E1394"/>
    <w:rsid w:val="00443171"/>
    <w:rsid w:val="00454DE8"/>
    <w:rsid w:val="004F2827"/>
    <w:rsid w:val="006717F7"/>
    <w:rsid w:val="00724D1E"/>
    <w:rsid w:val="0075192C"/>
    <w:rsid w:val="0075358A"/>
    <w:rsid w:val="0079358C"/>
    <w:rsid w:val="00846B0C"/>
    <w:rsid w:val="00855A07"/>
    <w:rsid w:val="0086505A"/>
    <w:rsid w:val="008C67F1"/>
    <w:rsid w:val="00906BF7"/>
    <w:rsid w:val="00914144"/>
    <w:rsid w:val="00984CA7"/>
    <w:rsid w:val="009E0AD2"/>
    <w:rsid w:val="009E1DAD"/>
    <w:rsid w:val="009F2256"/>
    <w:rsid w:val="00A31569"/>
    <w:rsid w:val="00A737F7"/>
    <w:rsid w:val="00A90EAA"/>
    <w:rsid w:val="00AC7AD7"/>
    <w:rsid w:val="00AE737A"/>
    <w:rsid w:val="00B5687F"/>
    <w:rsid w:val="00B8406D"/>
    <w:rsid w:val="00BB5E94"/>
    <w:rsid w:val="00C01256"/>
    <w:rsid w:val="00D1641C"/>
    <w:rsid w:val="00D9589E"/>
    <w:rsid w:val="00DD2B96"/>
    <w:rsid w:val="00E034AC"/>
    <w:rsid w:val="00E6427D"/>
    <w:rsid w:val="00E94838"/>
    <w:rsid w:val="00EA51D0"/>
    <w:rsid w:val="00EF1498"/>
    <w:rsid w:val="00FC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2AC8"/>
  <w15:chartTrackingRefBased/>
  <w15:docId w15:val="{22470201-8340-41A5-AD8E-778439CE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256"/>
    <w:pPr>
      <w:ind w:left="720"/>
      <w:contextualSpacing/>
    </w:pPr>
  </w:style>
  <w:style w:type="paragraph" w:styleId="Header">
    <w:name w:val="header"/>
    <w:basedOn w:val="Normal"/>
    <w:link w:val="HeaderChar"/>
    <w:uiPriority w:val="99"/>
    <w:unhideWhenUsed/>
    <w:rsid w:val="00C0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256"/>
  </w:style>
  <w:style w:type="paragraph" w:styleId="Footer">
    <w:name w:val="footer"/>
    <w:basedOn w:val="Normal"/>
    <w:link w:val="FooterChar"/>
    <w:uiPriority w:val="99"/>
    <w:unhideWhenUsed/>
    <w:rsid w:val="00C0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256"/>
  </w:style>
  <w:style w:type="paragraph" w:styleId="FootnoteText">
    <w:name w:val="footnote text"/>
    <w:basedOn w:val="Normal"/>
    <w:link w:val="FootnoteTextChar"/>
    <w:uiPriority w:val="99"/>
    <w:semiHidden/>
    <w:unhideWhenUsed/>
    <w:rsid w:val="00724D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D1E"/>
    <w:rPr>
      <w:sz w:val="20"/>
      <w:szCs w:val="20"/>
    </w:rPr>
  </w:style>
  <w:style w:type="character" w:styleId="FootnoteReference">
    <w:name w:val="footnote reference"/>
    <w:basedOn w:val="DefaultParagraphFont"/>
    <w:uiPriority w:val="99"/>
    <w:semiHidden/>
    <w:unhideWhenUsed/>
    <w:rsid w:val="00724D1E"/>
    <w:rPr>
      <w:vertAlign w:val="superscript"/>
    </w:rPr>
  </w:style>
  <w:style w:type="character" w:styleId="Hyperlink">
    <w:name w:val="Hyperlink"/>
    <w:basedOn w:val="DefaultParagraphFont"/>
    <w:uiPriority w:val="99"/>
    <w:unhideWhenUsed/>
    <w:rsid w:val="00724D1E"/>
    <w:rPr>
      <w:color w:val="0563C1" w:themeColor="hyperlink"/>
      <w:u w:val="single"/>
    </w:rPr>
  </w:style>
  <w:style w:type="paragraph" w:styleId="NoSpacing">
    <w:name w:val="No Spacing"/>
    <w:uiPriority w:val="1"/>
    <w:qFormat/>
    <w:rsid w:val="00914144"/>
    <w:pPr>
      <w:spacing w:after="0" w:line="240" w:lineRule="auto"/>
    </w:pPr>
  </w:style>
  <w:style w:type="table" w:styleId="TableGrid">
    <w:name w:val="Table Grid"/>
    <w:basedOn w:val="TableNormal"/>
    <w:uiPriority w:val="39"/>
    <w:rsid w:val="0098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4485">
      <w:bodyDiv w:val="1"/>
      <w:marLeft w:val="0"/>
      <w:marRight w:val="0"/>
      <w:marTop w:val="0"/>
      <w:marBottom w:val="0"/>
      <w:divBdr>
        <w:top w:val="none" w:sz="0" w:space="0" w:color="auto"/>
        <w:left w:val="none" w:sz="0" w:space="0" w:color="auto"/>
        <w:bottom w:val="none" w:sz="0" w:space="0" w:color="auto"/>
        <w:right w:val="none" w:sz="0" w:space="0" w:color="auto"/>
      </w:divBdr>
    </w:div>
    <w:div w:id="90707481">
      <w:bodyDiv w:val="1"/>
      <w:marLeft w:val="0"/>
      <w:marRight w:val="0"/>
      <w:marTop w:val="0"/>
      <w:marBottom w:val="0"/>
      <w:divBdr>
        <w:top w:val="none" w:sz="0" w:space="0" w:color="auto"/>
        <w:left w:val="none" w:sz="0" w:space="0" w:color="auto"/>
        <w:bottom w:val="none" w:sz="0" w:space="0" w:color="auto"/>
        <w:right w:val="none" w:sz="0" w:space="0" w:color="auto"/>
      </w:divBdr>
    </w:div>
    <w:div w:id="108747157">
      <w:bodyDiv w:val="1"/>
      <w:marLeft w:val="0"/>
      <w:marRight w:val="0"/>
      <w:marTop w:val="0"/>
      <w:marBottom w:val="0"/>
      <w:divBdr>
        <w:top w:val="none" w:sz="0" w:space="0" w:color="auto"/>
        <w:left w:val="none" w:sz="0" w:space="0" w:color="auto"/>
        <w:bottom w:val="none" w:sz="0" w:space="0" w:color="auto"/>
        <w:right w:val="none" w:sz="0" w:space="0" w:color="auto"/>
      </w:divBdr>
    </w:div>
    <w:div w:id="249041950">
      <w:bodyDiv w:val="1"/>
      <w:marLeft w:val="0"/>
      <w:marRight w:val="0"/>
      <w:marTop w:val="0"/>
      <w:marBottom w:val="0"/>
      <w:divBdr>
        <w:top w:val="none" w:sz="0" w:space="0" w:color="auto"/>
        <w:left w:val="none" w:sz="0" w:space="0" w:color="auto"/>
        <w:bottom w:val="none" w:sz="0" w:space="0" w:color="auto"/>
        <w:right w:val="none" w:sz="0" w:space="0" w:color="auto"/>
      </w:divBdr>
    </w:div>
    <w:div w:id="307176677">
      <w:bodyDiv w:val="1"/>
      <w:marLeft w:val="0"/>
      <w:marRight w:val="0"/>
      <w:marTop w:val="0"/>
      <w:marBottom w:val="0"/>
      <w:divBdr>
        <w:top w:val="none" w:sz="0" w:space="0" w:color="auto"/>
        <w:left w:val="none" w:sz="0" w:space="0" w:color="auto"/>
        <w:bottom w:val="none" w:sz="0" w:space="0" w:color="auto"/>
        <w:right w:val="none" w:sz="0" w:space="0" w:color="auto"/>
      </w:divBdr>
    </w:div>
    <w:div w:id="347373273">
      <w:bodyDiv w:val="1"/>
      <w:marLeft w:val="0"/>
      <w:marRight w:val="0"/>
      <w:marTop w:val="0"/>
      <w:marBottom w:val="0"/>
      <w:divBdr>
        <w:top w:val="none" w:sz="0" w:space="0" w:color="auto"/>
        <w:left w:val="none" w:sz="0" w:space="0" w:color="auto"/>
        <w:bottom w:val="none" w:sz="0" w:space="0" w:color="auto"/>
        <w:right w:val="none" w:sz="0" w:space="0" w:color="auto"/>
      </w:divBdr>
    </w:div>
    <w:div w:id="525607857">
      <w:bodyDiv w:val="1"/>
      <w:marLeft w:val="0"/>
      <w:marRight w:val="0"/>
      <w:marTop w:val="0"/>
      <w:marBottom w:val="0"/>
      <w:divBdr>
        <w:top w:val="none" w:sz="0" w:space="0" w:color="auto"/>
        <w:left w:val="none" w:sz="0" w:space="0" w:color="auto"/>
        <w:bottom w:val="none" w:sz="0" w:space="0" w:color="auto"/>
        <w:right w:val="none" w:sz="0" w:space="0" w:color="auto"/>
      </w:divBdr>
    </w:div>
    <w:div w:id="594555683">
      <w:bodyDiv w:val="1"/>
      <w:marLeft w:val="0"/>
      <w:marRight w:val="0"/>
      <w:marTop w:val="0"/>
      <w:marBottom w:val="0"/>
      <w:divBdr>
        <w:top w:val="none" w:sz="0" w:space="0" w:color="auto"/>
        <w:left w:val="none" w:sz="0" w:space="0" w:color="auto"/>
        <w:bottom w:val="none" w:sz="0" w:space="0" w:color="auto"/>
        <w:right w:val="none" w:sz="0" w:space="0" w:color="auto"/>
      </w:divBdr>
    </w:div>
    <w:div w:id="695886251">
      <w:bodyDiv w:val="1"/>
      <w:marLeft w:val="0"/>
      <w:marRight w:val="0"/>
      <w:marTop w:val="0"/>
      <w:marBottom w:val="0"/>
      <w:divBdr>
        <w:top w:val="none" w:sz="0" w:space="0" w:color="auto"/>
        <w:left w:val="none" w:sz="0" w:space="0" w:color="auto"/>
        <w:bottom w:val="none" w:sz="0" w:space="0" w:color="auto"/>
        <w:right w:val="none" w:sz="0" w:space="0" w:color="auto"/>
      </w:divBdr>
    </w:div>
    <w:div w:id="761684910">
      <w:bodyDiv w:val="1"/>
      <w:marLeft w:val="0"/>
      <w:marRight w:val="0"/>
      <w:marTop w:val="0"/>
      <w:marBottom w:val="0"/>
      <w:divBdr>
        <w:top w:val="none" w:sz="0" w:space="0" w:color="auto"/>
        <w:left w:val="none" w:sz="0" w:space="0" w:color="auto"/>
        <w:bottom w:val="none" w:sz="0" w:space="0" w:color="auto"/>
        <w:right w:val="none" w:sz="0" w:space="0" w:color="auto"/>
      </w:divBdr>
    </w:div>
    <w:div w:id="816997308">
      <w:bodyDiv w:val="1"/>
      <w:marLeft w:val="0"/>
      <w:marRight w:val="0"/>
      <w:marTop w:val="0"/>
      <w:marBottom w:val="0"/>
      <w:divBdr>
        <w:top w:val="none" w:sz="0" w:space="0" w:color="auto"/>
        <w:left w:val="none" w:sz="0" w:space="0" w:color="auto"/>
        <w:bottom w:val="none" w:sz="0" w:space="0" w:color="auto"/>
        <w:right w:val="none" w:sz="0" w:space="0" w:color="auto"/>
      </w:divBdr>
    </w:div>
    <w:div w:id="892546560">
      <w:bodyDiv w:val="1"/>
      <w:marLeft w:val="0"/>
      <w:marRight w:val="0"/>
      <w:marTop w:val="0"/>
      <w:marBottom w:val="0"/>
      <w:divBdr>
        <w:top w:val="none" w:sz="0" w:space="0" w:color="auto"/>
        <w:left w:val="none" w:sz="0" w:space="0" w:color="auto"/>
        <w:bottom w:val="none" w:sz="0" w:space="0" w:color="auto"/>
        <w:right w:val="none" w:sz="0" w:space="0" w:color="auto"/>
      </w:divBdr>
    </w:div>
    <w:div w:id="966819444">
      <w:bodyDiv w:val="1"/>
      <w:marLeft w:val="0"/>
      <w:marRight w:val="0"/>
      <w:marTop w:val="0"/>
      <w:marBottom w:val="0"/>
      <w:divBdr>
        <w:top w:val="none" w:sz="0" w:space="0" w:color="auto"/>
        <w:left w:val="none" w:sz="0" w:space="0" w:color="auto"/>
        <w:bottom w:val="none" w:sz="0" w:space="0" w:color="auto"/>
        <w:right w:val="none" w:sz="0" w:space="0" w:color="auto"/>
      </w:divBdr>
    </w:div>
    <w:div w:id="1003629156">
      <w:bodyDiv w:val="1"/>
      <w:marLeft w:val="0"/>
      <w:marRight w:val="0"/>
      <w:marTop w:val="0"/>
      <w:marBottom w:val="0"/>
      <w:divBdr>
        <w:top w:val="none" w:sz="0" w:space="0" w:color="auto"/>
        <w:left w:val="none" w:sz="0" w:space="0" w:color="auto"/>
        <w:bottom w:val="none" w:sz="0" w:space="0" w:color="auto"/>
        <w:right w:val="none" w:sz="0" w:space="0" w:color="auto"/>
      </w:divBdr>
    </w:div>
    <w:div w:id="1045836277">
      <w:bodyDiv w:val="1"/>
      <w:marLeft w:val="0"/>
      <w:marRight w:val="0"/>
      <w:marTop w:val="0"/>
      <w:marBottom w:val="0"/>
      <w:divBdr>
        <w:top w:val="none" w:sz="0" w:space="0" w:color="auto"/>
        <w:left w:val="none" w:sz="0" w:space="0" w:color="auto"/>
        <w:bottom w:val="none" w:sz="0" w:space="0" w:color="auto"/>
        <w:right w:val="none" w:sz="0" w:space="0" w:color="auto"/>
      </w:divBdr>
    </w:div>
    <w:div w:id="1055544638">
      <w:bodyDiv w:val="1"/>
      <w:marLeft w:val="0"/>
      <w:marRight w:val="0"/>
      <w:marTop w:val="0"/>
      <w:marBottom w:val="0"/>
      <w:divBdr>
        <w:top w:val="none" w:sz="0" w:space="0" w:color="auto"/>
        <w:left w:val="none" w:sz="0" w:space="0" w:color="auto"/>
        <w:bottom w:val="none" w:sz="0" w:space="0" w:color="auto"/>
        <w:right w:val="none" w:sz="0" w:space="0" w:color="auto"/>
      </w:divBdr>
    </w:div>
    <w:div w:id="1296835320">
      <w:bodyDiv w:val="1"/>
      <w:marLeft w:val="0"/>
      <w:marRight w:val="0"/>
      <w:marTop w:val="0"/>
      <w:marBottom w:val="0"/>
      <w:divBdr>
        <w:top w:val="none" w:sz="0" w:space="0" w:color="auto"/>
        <w:left w:val="none" w:sz="0" w:space="0" w:color="auto"/>
        <w:bottom w:val="none" w:sz="0" w:space="0" w:color="auto"/>
        <w:right w:val="none" w:sz="0" w:space="0" w:color="auto"/>
      </w:divBdr>
    </w:div>
    <w:div w:id="1303079750">
      <w:bodyDiv w:val="1"/>
      <w:marLeft w:val="0"/>
      <w:marRight w:val="0"/>
      <w:marTop w:val="0"/>
      <w:marBottom w:val="0"/>
      <w:divBdr>
        <w:top w:val="none" w:sz="0" w:space="0" w:color="auto"/>
        <w:left w:val="none" w:sz="0" w:space="0" w:color="auto"/>
        <w:bottom w:val="none" w:sz="0" w:space="0" w:color="auto"/>
        <w:right w:val="none" w:sz="0" w:space="0" w:color="auto"/>
      </w:divBdr>
    </w:div>
    <w:div w:id="1365792893">
      <w:bodyDiv w:val="1"/>
      <w:marLeft w:val="0"/>
      <w:marRight w:val="0"/>
      <w:marTop w:val="0"/>
      <w:marBottom w:val="0"/>
      <w:divBdr>
        <w:top w:val="none" w:sz="0" w:space="0" w:color="auto"/>
        <w:left w:val="none" w:sz="0" w:space="0" w:color="auto"/>
        <w:bottom w:val="none" w:sz="0" w:space="0" w:color="auto"/>
        <w:right w:val="none" w:sz="0" w:space="0" w:color="auto"/>
      </w:divBdr>
    </w:div>
    <w:div w:id="1375276634">
      <w:bodyDiv w:val="1"/>
      <w:marLeft w:val="0"/>
      <w:marRight w:val="0"/>
      <w:marTop w:val="0"/>
      <w:marBottom w:val="0"/>
      <w:divBdr>
        <w:top w:val="none" w:sz="0" w:space="0" w:color="auto"/>
        <w:left w:val="none" w:sz="0" w:space="0" w:color="auto"/>
        <w:bottom w:val="none" w:sz="0" w:space="0" w:color="auto"/>
        <w:right w:val="none" w:sz="0" w:space="0" w:color="auto"/>
      </w:divBdr>
    </w:div>
    <w:div w:id="1400322021">
      <w:bodyDiv w:val="1"/>
      <w:marLeft w:val="0"/>
      <w:marRight w:val="0"/>
      <w:marTop w:val="0"/>
      <w:marBottom w:val="0"/>
      <w:divBdr>
        <w:top w:val="none" w:sz="0" w:space="0" w:color="auto"/>
        <w:left w:val="none" w:sz="0" w:space="0" w:color="auto"/>
        <w:bottom w:val="none" w:sz="0" w:space="0" w:color="auto"/>
        <w:right w:val="none" w:sz="0" w:space="0" w:color="auto"/>
      </w:divBdr>
    </w:div>
    <w:div w:id="1413701663">
      <w:bodyDiv w:val="1"/>
      <w:marLeft w:val="0"/>
      <w:marRight w:val="0"/>
      <w:marTop w:val="0"/>
      <w:marBottom w:val="0"/>
      <w:divBdr>
        <w:top w:val="none" w:sz="0" w:space="0" w:color="auto"/>
        <w:left w:val="none" w:sz="0" w:space="0" w:color="auto"/>
        <w:bottom w:val="none" w:sz="0" w:space="0" w:color="auto"/>
        <w:right w:val="none" w:sz="0" w:space="0" w:color="auto"/>
      </w:divBdr>
    </w:div>
    <w:div w:id="1414357370">
      <w:bodyDiv w:val="1"/>
      <w:marLeft w:val="0"/>
      <w:marRight w:val="0"/>
      <w:marTop w:val="0"/>
      <w:marBottom w:val="0"/>
      <w:divBdr>
        <w:top w:val="none" w:sz="0" w:space="0" w:color="auto"/>
        <w:left w:val="none" w:sz="0" w:space="0" w:color="auto"/>
        <w:bottom w:val="none" w:sz="0" w:space="0" w:color="auto"/>
        <w:right w:val="none" w:sz="0" w:space="0" w:color="auto"/>
      </w:divBdr>
    </w:div>
    <w:div w:id="1489633675">
      <w:bodyDiv w:val="1"/>
      <w:marLeft w:val="0"/>
      <w:marRight w:val="0"/>
      <w:marTop w:val="0"/>
      <w:marBottom w:val="0"/>
      <w:divBdr>
        <w:top w:val="none" w:sz="0" w:space="0" w:color="auto"/>
        <w:left w:val="none" w:sz="0" w:space="0" w:color="auto"/>
        <w:bottom w:val="none" w:sz="0" w:space="0" w:color="auto"/>
        <w:right w:val="none" w:sz="0" w:space="0" w:color="auto"/>
      </w:divBdr>
    </w:div>
    <w:div w:id="1720740820">
      <w:bodyDiv w:val="1"/>
      <w:marLeft w:val="0"/>
      <w:marRight w:val="0"/>
      <w:marTop w:val="0"/>
      <w:marBottom w:val="0"/>
      <w:divBdr>
        <w:top w:val="none" w:sz="0" w:space="0" w:color="auto"/>
        <w:left w:val="none" w:sz="0" w:space="0" w:color="auto"/>
        <w:bottom w:val="none" w:sz="0" w:space="0" w:color="auto"/>
        <w:right w:val="none" w:sz="0" w:space="0" w:color="auto"/>
      </w:divBdr>
    </w:div>
    <w:div w:id="1908029151">
      <w:bodyDiv w:val="1"/>
      <w:marLeft w:val="0"/>
      <w:marRight w:val="0"/>
      <w:marTop w:val="0"/>
      <w:marBottom w:val="0"/>
      <w:divBdr>
        <w:top w:val="none" w:sz="0" w:space="0" w:color="auto"/>
        <w:left w:val="none" w:sz="0" w:space="0" w:color="auto"/>
        <w:bottom w:val="none" w:sz="0" w:space="0" w:color="auto"/>
        <w:right w:val="none" w:sz="0" w:space="0" w:color="auto"/>
      </w:divBdr>
    </w:div>
    <w:div w:id="1915121761">
      <w:bodyDiv w:val="1"/>
      <w:marLeft w:val="0"/>
      <w:marRight w:val="0"/>
      <w:marTop w:val="0"/>
      <w:marBottom w:val="0"/>
      <w:divBdr>
        <w:top w:val="none" w:sz="0" w:space="0" w:color="auto"/>
        <w:left w:val="none" w:sz="0" w:space="0" w:color="auto"/>
        <w:bottom w:val="none" w:sz="0" w:space="0" w:color="auto"/>
        <w:right w:val="none" w:sz="0" w:space="0" w:color="auto"/>
      </w:divBdr>
    </w:div>
    <w:div w:id="1918435929">
      <w:bodyDiv w:val="1"/>
      <w:marLeft w:val="0"/>
      <w:marRight w:val="0"/>
      <w:marTop w:val="0"/>
      <w:marBottom w:val="0"/>
      <w:divBdr>
        <w:top w:val="none" w:sz="0" w:space="0" w:color="auto"/>
        <w:left w:val="none" w:sz="0" w:space="0" w:color="auto"/>
        <w:bottom w:val="none" w:sz="0" w:space="0" w:color="auto"/>
        <w:right w:val="none" w:sz="0" w:space="0" w:color="auto"/>
      </w:divBdr>
    </w:div>
    <w:div w:id="21412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Henley</dc:creator>
  <cp:keywords/>
  <dc:description/>
  <cp:lastModifiedBy>Joshua Rubin</cp:lastModifiedBy>
  <cp:revision>2</cp:revision>
  <dcterms:created xsi:type="dcterms:W3CDTF">2021-11-17T22:10:00Z</dcterms:created>
  <dcterms:modified xsi:type="dcterms:W3CDTF">2021-11-17T22:10:00Z</dcterms:modified>
</cp:coreProperties>
</file>