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BD" w:rsidRDefault="007557BD" w:rsidP="00332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5943600" cy="1336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MS-Banner-2021Rev-2 as of 10-15-2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7BD" w:rsidRDefault="007557BD" w:rsidP="00332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557BD" w:rsidRPr="007557BD" w:rsidRDefault="007557BD" w:rsidP="00332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April 30, 2023</w:t>
      </w:r>
    </w:p>
    <w:p w:rsidR="007557BD" w:rsidRDefault="007557BD" w:rsidP="00332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30AFD" w:rsidRDefault="00630AFD" w:rsidP="00332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This evening </w:t>
      </w:r>
      <w:r w:rsidR="006616D6">
        <w:rPr>
          <w:rFonts w:ascii="Arial" w:eastAsia="Times New Roman" w:hAnsi="Arial" w:cs="Arial"/>
          <w:color w:val="222222"/>
          <w:sz w:val="24"/>
          <w:szCs w:val="24"/>
        </w:rPr>
        <w:t>four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of the final Article VII budget bills have been released (Health/Mental Hygiene, Revenue</w:t>
      </w:r>
      <w:r w:rsidR="006616D6">
        <w:rPr>
          <w:rFonts w:ascii="Arial" w:eastAsia="Times New Roman" w:hAnsi="Arial" w:cs="Arial"/>
          <w:color w:val="222222"/>
          <w:sz w:val="24"/>
          <w:szCs w:val="24"/>
        </w:rPr>
        <w:t>, Capital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and Public Protection).  We expect the remaining</w:t>
      </w:r>
      <w:r w:rsidR="00792200">
        <w:rPr>
          <w:rFonts w:ascii="Arial" w:eastAsia="Times New Roman" w:hAnsi="Arial" w:cs="Arial"/>
          <w:color w:val="222222"/>
          <w:sz w:val="24"/>
          <w:szCs w:val="24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final budget bills (both Article VII and Appropriations) to be introduced later this evening and into tomorrow for action by the Legislature early this week if the Governor issues a message of necessity</w:t>
      </w:r>
      <w:r w:rsidR="00792200">
        <w:rPr>
          <w:rFonts w:ascii="Arial" w:eastAsia="Times New Roman" w:hAnsi="Arial" w:cs="Arial"/>
          <w:color w:val="222222"/>
          <w:sz w:val="24"/>
          <w:szCs w:val="24"/>
        </w:rPr>
        <w:t xml:space="preserve"> for each</w:t>
      </w:r>
      <w:r>
        <w:rPr>
          <w:rFonts w:ascii="Arial" w:eastAsia="Times New Roman" w:hAnsi="Arial" w:cs="Arial"/>
          <w:color w:val="222222"/>
          <w:sz w:val="24"/>
          <w:szCs w:val="24"/>
        </w:rPr>
        <w:t>.  Otherwise, they will need to “age” three days before passage.</w:t>
      </w:r>
    </w:p>
    <w:p w:rsidR="00630AFD" w:rsidRDefault="00630AFD" w:rsidP="00332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30AFD" w:rsidRDefault="00630AFD" w:rsidP="00332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Of particular interest to the NYS Council, outlined below is a summary of key provisions of interest from the final Health/Mental Hygiene Article VII bill. Once the Appropriations bills are out we will be able to speak more to individual funding lines and appropriations of interest.</w:t>
      </w:r>
    </w:p>
    <w:p w:rsidR="00630AFD" w:rsidRDefault="00630AFD" w:rsidP="00332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30AFD" w:rsidRPr="00630AFD" w:rsidRDefault="00630AFD" w:rsidP="00332FC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Outline of Final Health/Mental Hygiene Art. VII Budget Bill Provisions of Interest:</w:t>
      </w:r>
    </w:p>
    <w:p w:rsidR="00792200" w:rsidRDefault="00792200" w:rsidP="00332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92200" w:rsidRDefault="00792200" w:rsidP="00332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Part A: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Global Spending Cap: </w:t>
      </w:r>
      <w:r>
        <w:rPr>
          <w:rFonts w:ascii="Arial" w:eastAsia="Times New Roman" w:hAnsi="Arial" w:cs="Arial"/>
          <w:color w:val="222222"/>
          <w:sz w:val="24"/>
          <w:szCs w:val="24"/>
        </w:rPr>
        <w:t>Extended through fiscal year 2024-25.</w:t>
      </w:r>
    </w:p>
    <w:p w:rsidR="00792200" w:rsidRDefault="00792200" w:rsidP="00332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92200" w:rsidRDefault="00792200" w:rsidP="00332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Part D: </w:t>
      </w:r>
      <w:r w:rsidRPr="00792200">
        <w:rPr>
          <w:rFonts w:ascii="Arial" w:eastAsia="Times New Roman" w:hAnsi="Arial" w:cs="Arial"/>
          <w:b/>
          <w:color w:val="222222"/>
          <w:sz w:val="24"/>
          <w:szCs w:val="24"/>
        </w:rPr>
        <w:t>Medicaid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Prescriber Prevails &amp; OTC Coverage Changes: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Rejected.</w:t>
      </w:r>
    </w:p>
    <w:p w:rsidR="00792200" w:rsidRDefault="00792200" w:rsidP="00332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92200" w:rsidRDefault="00792200" w:rsidP="00332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Part E: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Hospital Funding/Provisions: </w:t>
      </w:r>
      <w:r>
        <w:rPr>
          <w:rFonts w:ascii="Arial" w:eastAsia="Times New Roman" w:hAnsi="Arial" w:cs="Arial"/>
          <w:color w:val="222222"/>
          <w:sz w:val="24"/>
          <w:szCs w:val="24"/>
        </w:rPr>
        <w:t>$235.4 million per year from 2023-2025 provided for enhanced safety net hospitals, 7.5% rate increase included for hospitals, provision included on 30-day notice requirements when general inpatient hospitals are planning to convert to rural emergency hospitals to communities, OMH, and OASAS among others.</w:t>
      </w:r>
    </w:p>
    <w:p w:rsidR="00792200" w:rsidRDefault="00792200" w:rsidP="00332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92200" w:rsidRDefault="00792200" w:rsidP="00332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Part H: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Essential Plan Changes: </w:t>
      </w:r>
      <w:r w:rsidR="00A82DAD">
        <w:rPr>
          <w:rFonts w:ascii="Arial" w:eastAsia="Times New Roman" w:hAnsi="Arial" w:cs="Arial"/>
          <w:color w:val="222222"/>
          <w:sz w:val="24"/>
          <w:szCs w:val="24"/>
        </w:rPr>
        <w:t>Expands eligibility and moves to 1332 State Innovation Program, establishing new authority and a fund.</w:t>
      </w:r>
    </w:p>
    <w:p w:rsidR="00A82DAD" w:rsidRDefault="00A82DAD" w:rsidP="00332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82DAD" w:rsidRDefault="00A82DAD" w:rsidP="00332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Part I: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Long Term Care: </w:t>
      </w:r>
      <w:r>
        <w:rPr>
          <w:rFonts w:ascii="Arial" w:eastAsia="Times New Roman" w:hAnsi="Arial" w:cs="Arial"/>
          <w:color w:val="222222"/>
          <w:sz w:val="24"/>
          <w:szCs w:val="24"/>
        </w:rPr>
        <w:t>Includes rate increase for nursing homes and assisted living programs at 6.5%.  Includes standards for managed long term care plans.</w:t>
      </w:r>
    </w:p>
    <w:p w:rsidR="00A82DAD" w:rsidRDefault="00A82DAD" w:rsidP="00332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82DAD" w:rsidRDefault="00A82DAD" w:rsidP="00332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Part J: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Managed Care Reforms to cover hospital services and eliminate prospective denials: </w:t>
      </w:r>
      <w:r>
        <w:rPr>
          <w:rFonts w:ascii="Arial" w:eastAsia="Times New Roman" w:hAnsi="Arial" w:cs="Arial"/>
          <w:color w:val="222222"/>
          <w:sz w:val="24"/>
          <w:szCs w:val="24"/>
        </w:rPr>
        <w:t>Rejected.</w:t>
      </w:r>
    </w:p>
    <w:p w:rsidR="00EE0603" w:rsidRDefault="00EE0603" w:rsidP="00332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E0603" w:rsidRDefault="00EE0603" w:rsidP="00332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Part K: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Expand Waiver Eligibility: </w:t>
      </w:r>
      <w:r>
        <w:rPr>
          <w:rFonts w:ascii="Arial" w:eastAsia="Times New Roman" w:hAnsi="Arial" w:cs="Arial"/>
          <w:color w:val="222222"/>
          <w:sz w:val="24"/>
          <w:szCs w:val="24"/>
        </w:rPr>
        <w:t>Extends Medicaid services for incarcerated persons and those</w:t>
      </w:r>
      <w:r w:rsidR="006616D6">
        <w:rPr>
          <w:rFonts w:ascii="Arial" w:eastAsia="Times New Roman" w:hAnsi="Arial" w:cs="Arial"/>
          <w:color w:val="222222"/>
          <w:sz w:val="24"/>
          <w:szCs w:val="24"/>
        </w:rPr>
        <w:t xml:space="preserve"> in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institutions of mental disease (IMDs)</w:t>
      </w:r>
      <w:r w:rsidR="006616D6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EE0603" w:rsidRDefault="00EE0603" w:rsidP="00332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E0603" w:rsidRDefault="00EE0603" w:rsidP="00332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Part L: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Site of Service Review: </w:t>
      </w:r>
      <w:r>
        <w:rPr>
          <w:rFonts w:ascii="Arial" w:eastAsia="Times New Roman" w:hAnsi="Arial" w:cs="Arial"/>
          <w:color w:val="222222"/>
          <w:sz w:val="24"/>
          <w:szCs w:val="24"/>
        </w:rPr>
        <w:t>Provisions included.</w:t>
      </w:r>
    </w:p>
    <w:p w:rsidR="006616D6" w:rsidRDefault="006616D6" w:rsidP="00332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E0603" w:rsidRDefault="005932B4" w:rsidP="00332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Part P</w:t>
      </w:r>
      <w:r w:rsidR="00EE0603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r w:rsidR="00EE060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Healthcare Facility Transformation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Program, Statewide V</w:t>
      </w:r>
      <w:r w:rsidR="00EE060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: </w:t>
      </w:r>
      <w:r w:rsidR="00EE0603">
        <w:rPr>
          <w:rFonts w:ascii="Arial" w:eastAsia="Times New Roman" w:hAnsi="Arial" w:cs="Arial"/>
          <w:color w:val="222222"/>
          <w:sz w:val="24"/>
          <w:szCs w:val="24"/>
        </w:rPr>
        <w:t>Includes language consistent with Executive Budget to provide up to $490M without competitive bid for grants, capital and other projects by eligible health providers and up to $500M without competitive bid for health technology and telehealth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transformation</w:t>
      </w:r>
      <w:r w:rsidR="00EE0603">
        <w:rPr>
          <w:rFonts w:ascii="Arial" w:eastAsia="Times New Roman" w:hAnsi="Arial" w:cs="Arial"/>
          <w:color w:val="222222"/>
          <w:sz w:val="24"/>
          <w:szCs w:val="24"/>
        </w:rPr>
        <w:t xml:space="preserve"> projects.</w:t>
      </w:r>
    </w:p>
    <w:p w:rsidR="005932B4" w:rsidRDefault="005932B4" w:rsidP="00332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932B4" w:rsidRDefault="00E51BDF" w:rsidP="00332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Part Q: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Scope of Practice: </w:t>
      </w:r>
      <w:r>
        <w:rPr>
          <w:rFonts w:ascii="Arial" w:eastAsia="Times New Roman" w:hAnsi="Arial" w:cs="Arial"/>
          <w:color w:val="222222"/>
          <w:sz w:val="24"/>
          <w:szCs w:val="24"/>
        </w:rPr>
        <w:t>Most proposals in Executive Budget rejected exemption final budget includes expansion of services by community health workers and reimbursement for LMHCs and LMFTs for certain services at Medicaid APG rates.</w:t>
      </w:r>
    </w:p>
    <w:p w:rsidR="00E51BDF" w:rsidRDefault="00E51BDF" w:rsidP="00332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51BDF" w:rsidRDefault="00E51BDF" w:rsidP="00332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Part R: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Medicaid Coverage of Prevention Services: </w:t>
      </w:r>
      <w:r>
        <w:rPr>
          <w:rFonts w:ascii="Arial" w:eastAsia="Times New Roman" w:hAnsi="Arial" w:cs="Arial"/>
          <w:color w:val="222222"/>
          <w:sz w:val="24"/>
          <w:szCs w:val="24"/>
        </w:rPr>
        <w:t>Retains provisions to cover nutritionists and dietician services and chronic disease management services.</w:t>
      </w:r>
    </w:p>
    <w:p w:rsidR="00E51BDF" w:rsidRDefault="00E51BDF" w:rsidP="00332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51BDF" w:rsidRDefault="00E51BDF" w:rsidP="00332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Part Y: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Medical Debt/ Health Insurance Guaranty Fund: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Rejects drug price increase reporting proposal, retains hospital medical debt requirements, uniform financial assistance provisions and requirement for NY health insurers to have health guaranty fund.</w:t>
      </w:r>
    </w:p>
    <w:p w:rsidR="00E51BDF" w:rsidRDefault="00E51BDF" w:rsidP="00332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51BDF" w:rsidRDefault="000611AD" w:rsidP="00332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Part AA: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Preventable Epidemics: </w:t>
      </w:r>
      <w:r>
        <w:rPr>
          <w:rFonts w:ascii="Arial" w:eastAsia="Times New Roman" w:hAnsi="Arial" w:cs="Arial"/>
          <w:color w:val="222222"/>
          <w:sz w:val="24"/>
          <w:szCs w:val="24"/>
        </w:rPr>
        <w:t>Retails provisions regarding routine offering of Hep C screening to those over 18, those under 18 at risk, pregnant people and also screenings for syphilis for pregnant people.</w:t>
      </w:r>
    </w:p>
    <w:p w:rsidR="000611AD" w:rsidRDefault="000611AD" w:rsidP="00332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11AD" w:rsidRDefault="000611AD" w:rsidP="00332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Part BB: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Ban on Fentanyl Analogs: </w:t>
      </w:r>
      <w:r>
        <w:rPr>
          <w:rFonts w:ascii="Arial" w:eastAsia="Times New Roman" w:hAnsi="Arial" w:cs="Arial"/>
          <w:color w:val="222222"/>
          <w:sz w:val="24"/>
          <w:szCs w:val="24"/>
        </w:rPr>
        <w:t>Included.</w:t>
      </w:r>
    </w:p>
    <w:p w:rsidR="000611AD" w:rsidRDefault="000611AD" w:rsidP="00332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11AD" w:rsidRDefault="000611AD" w:rsidP="00332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Part CC: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Shift </w:t>
      </w:r>
      <w:r w:rsidR="006616D6">
        <w:rPr>
          <w:rFonts w:ascii="Arial" w:eastAsia="Times New Roman" w:hAnsi="Arial" w:cs="Arial"/>
          <w:b/>
          <w:color w:val="222222"/>
          <w:sz w:val="24"/>
          <w:szCs w:val="24"/>
        </w:rPr>
        <w:t>Oversight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of Health/MH Professions to DOH: </w:t>
      </w:r>
      <w:r>
        <w:rPr>
          <w:rFonts w:ascii="Arial" w:eastAsia="Times New Roman" w:hAnsi="Arial" w:cs="Arial"/>
          <w:color w:val="222222"/>
          <w:sz w:val="24"/>
          <w:szCs w:val="24"/>
        </w:rPr>
        <w:t>Rejected.</w:t>
      </w:r>
    </w:p>
    <w:p w:rsidR="000611AD" w:rsidRDefault="000611AD" w:rsidP="00332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11AD" w:rsidRDefault="000611AD" w:rsidP="00332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Part DD: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COLA: </w:t>
      </w:r>
      <w:r>
        <w:rPr>
          <w:rFonts w:ascii="Arial" w:eastAsia="Times New Roman" w:hAnsi="Arial" w:cs="Arial"/>
          <w:color w:val="222222"/>
          <w:sz w:val="24"/>
          <w:szCs w:val="24"/>
        </w:rPr>
        <w:t>Increases COLA to 4% (from 2.5%) for 4/1/23-3/31/24.</w:t>
      </w:r>
    </w:p>
    <w:p w:rsidR="000611AD" w:rsidRDefault="000611AD" w:rsidP="00332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11AD" w:rsidRDefault="000611AD" w:rsidP="00332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Part GG: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Qualified Mental Health Associate Credential: </w:t>
      </w:r>
      <w:r>
        <w:rPr>
          <w:rFonts w:ascii="Arial" w:eastAsia="Times New Roman" w:hAnsi="Arial" w:cs="Arial"/>
          <w:color w:val="222222"/>
          <w:sz w:val="24"/>
          <w:szCs w:val="24"/>
        </w:rPr>
        <w:t>Rejected.</w:t>
      </w:r>
    </w:p>
    <w:p w:rsidR="000611AD" w:rsidRDefault="000611AD" w:rsidP="00332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11AD" w:rsidRDefault="000611AD" w:rsidP="00332FC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Part HH: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CCBHCs:</w:t>
      </w:r>
    </w:p>
    <w:p w:rsidR="000611AD" w:rsidRDefault="000611AD" w:rsidP="000611A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CCBHC Expansion: Executive Budget Medicaid scorecard provides $19.7M over two years to expand to 39 CCBHCs (no Article VII language included)</w:t>
      </w:r>
      <w:r w:rsidR="006616D6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0611AD" w:rsidRDefault="000611AD" w:rsidP="000611A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Includes joint certification proposal for CCBHCs by OMH and OASAS</w:t>
      </w:r>
      <w:r w:rsidR="006616D6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332FCA" w:rsidRDefault="000611AD" w:rsidP="00332FC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Includes CCBHC Indigent Care program funding consistent with Executive Budget ($22.5M 7/1/23-6/30/24; $41,250,000 7/1/24-6/30/25; $45M 7/1/25-6/30/26 gross with federal share if approved)</w:t>
      </w:r>
      <w:r w:rsidR="006616D6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B23D01" w:rsidRPr="000611AD" w:rsidRDefault="00B23D01" w:rsidP="00332FC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Additional language included around criminal history review and Justice Center with CCBHCs.</w:t>
      </w:r>
    </w:p>
    <w:p w:rsidR="00B23D01" w:rsidRDefault="00B23D01" w:rsidP="00332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23D01" w:rsidRPr="00B23D01" w:rsidRDefault="00B23D01" w:rsidP="00332FC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Part II: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Commercial Insurance-BH:</w:t>
      </w:r>
    </w:p>
    <w:p w:rsidR="00630AFD" w:rsidRPr="00630AFD" w:rsidRDefault="00B23D01" w:rsidP="00630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Subpart </w:t>
      </w:r>
      <w:r w:rsidR="00630AFD" w:rsidRPr="00630AFD">
        <w:rPr>
          <w:rFonts w:ascii="Arial" w:eastAsia="Times New Roman" w:hAnsi="Arial" w:cs="Arial"/>
          <w:color w:val="222222"/>
          <w:sz w:val="24"/>
          <w:szCs w:val="24"/>
        </w:rPr>
        <w:t>A: Crisis Stabilization/ Mobile Counseling Services/ School Based Mental Health services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 Final budget includes commercial insurance coverage requirements within 30 days of hospital discharge, includes additional </w:t>
      </w:r>
      <w:r>
        <w:rPr>
          <w:rFonts w:ascii="Arial" w:eastAsia="Times New Roman" w:hAnsi="Arial" w:cs="Arial"/>
          <w:color w:val="222222"/>
          <w:sz w:val="24"/>
          <w:szCs w:val="24"/>
        </w:rPr>
        <w:lastRenderedPageBreak/>
        <w:t>definitions of these services and accepts provisions on school based mental health clinic reimbursement on negotiated or Medicaid rates regardless of whether they are a participating provider with insurer.</w:t>
      </w:r>
    </w:p>
    <w:p w:rsidR="00630AFD" w:rsidRPr="00630AFD" w:rsidRDefault="00B23D01" w:rsidP="00630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Subpart </w:t>
      </w:r>
      <w:r w:rsidR="00630AFD" w:rsidRPr="00630AFD">
        <w:rPr>
          <w:rFonts w:ascii="Arial" w:eastAsia="Times New Roman" w:hAnsi="Arial" w:cs="Arial"/>
          <w:color w:val="222222"/>
          <w:sz w:val="24"/>
          <w:szCs w:val="24"/>
        </w:rPr>
        <w:t xml:space="preserve">B: </w:t>
      </w:r>
      <w:r w:rsidR="00840BB0">
        <w:rPr>
          <w:rFonts w:ascii="Arial" w:eastAsia="Times New Roman" w:hAnsi="Arial" w:cs="Arial"/>
          <w:color w:val="222222"/>
          <w:sz w:val="24"/>
          <w:szCs w:val="24"/>
        </w:rPr>
        <w:t xml:space="preserve">No </w:t>
      </w:r>
      <w:r w:rsidR="00630AFD" w:rsidRPr="00630AFD">
        <w:rPr>
          <w:rFonts w:ascii="Arial" w:eastAsia="Times New Roman" w:hAnsi="Arial" w:cs="Arial"/>
          <w:color w:val="222222"/>
          <w:sz w:val="24"/>
          <w:szCs w:val="24"/>
        </w:rPr>
        <w:t>Preauthorization/Concurrent Utilization Review for certain BH services (in</w:t>
      </w:r>
      <w:r w:rsidR="00840BB0">
        <w:rPr>
          <w:rFonts w:ascii="Arial" w:eastAsia="Times New Roman" w:hAnsi="Arial" w:cs="Arial"/>
          <w:color w:val="222222"/>
          <w:sz w:val="24"/>
          <w:szCs w:val="24"/>
        </w:rPr>
        <w:t xml:space="preserve"> network hospital, crisis residence) included.  Does not include requirement for one tool to be used per OMH. </w:t>
      </w:r>
    </w:p>
    <w:p w:rsidR="00630AFD" w:rsidRPr="00630AFD" w:rsidRDefault="00840BB0" w:rsidP="00630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Subpart C: Telehealth parity- rejected.</w:t>
      </w:r>
    </w:p>
    <w:p w:rsidR="00630AFD" w:rsidRPr="00630AFD" w:rsidRDefault="00840BB0" w:rsidP="00630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Subpart </w:t>
      </w:r>
      <w:r w:rsidR="00630AFD" w:rsidRPr="00630AFD">
        <w:rPr>
          <w:rFonts w:ascii="Arial" w:eastAsia="Times New Roman" w:hAnsi="Arial" w:cs="Arial"/>
          <w:color w:val="222222"/>
          <w:sz w:val="24"/>
          <w:szCs w:val="24"/>
        </w:rPr>
        <w:t>D: Private Right of Action for Parity violations</w:t>
      </w:r>
      <w:r>
        <w:rPr>
          <w:rFonts w:ascii="Arial" w:eastAsia="Times New Roman" w:hAnsi="Arial" w:cs="Arial"/>
          <w:color w:val="222222"/>
          <w:sz w:val="24"/>
          <w:szCs w:val="24"/>
        </w:rPr>
        <w:t>- rejected</w:t>
      </w:r>
    </w:p>
    <w:p w:rsidR="00630AFD" w:rsidRPr="00630AFD" w:rsidRDefault="00840BB0" w:rsidP="00630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Subpart </w:t>
      </w:r>
      <w:r w:rsidR="00630AFD" w:rsidRPr="00630AFD">
        <w:rPr>
          <w:rFonts w:ascii="Arial" w:eastAsia="Times New Roman" w:hAnsi="Arial" w:cs="Arial"/>
          <w:color w:val="222222"/>
          <w:sz w:val="24"/>
          <w:szCs w:val="24"/>
        </w:rPr>
        <w:t>E: Insurance Coverage for SUD meds without prior authorization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included.</w:t>
      </w:r>
    </w:p>
    <w:p w:rsidR="00630AFD" w:rsidRDefault="00840BB0" w:rsidP="00630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Subpart </w:t>
      </w:r>
      <w:r w:rsidR="00630AFD" w:rsidRPr="00630AFD">
        <w:rPr>
          <w:rFonts w:ascii="Arial" w:eastAsia="Times New Roman" w:hAnsi="Arial" w:cs="Arial"/>
          <w:color w:val="222222"/>
          <w:sz w:val="24"/>
          <w:szCs w:val="24"/>
        </w:rPr>
        <w:t>F: Network Adequacy standards, APG floor rate for out of network care</w:t>
      </w:r>
      <w:r>
        <w:rPr>
          <w:rFonts w:ascii="Arial" w:eastAsia="Times New Roman" w:hAnsi="Arial" w:cs="Arial"/>
          <w:color w:val="222222"/>
          <w:sz w:val="24"/>
          <w:szCs w:val="24"/>
        </w:rPr>
        <w:t>.  This is modified significantly to just call on Superintendent of DFS, in consultation with OMH and OASAS to develop</w:t>
      </w:r>
      <w:r w:rsidR="00630AFD" w:rsidRPr="00630AFD">
        <w:rPr>
          <w:rFonts w:ascii="Arial" w:eastAsia="Times New Roman" w:hAnsi="Arial" w:cs="Arial"/>
          <w:color w:val="222222"/>
          <w:sz w:val="24"/>
          <w:szCs w:val="24"/>
        </w:rPr>
        <w:t xml:space="preserve"> regulations to set network adequacy standards for SUD/MH </w:t>
      </w:r>
      <w:r>
        <w:rPr>
          <w:rFonts w:ascii="Arial" w:eastAsia="Times New Roman" w:hAnsi="Arial" w:cs="Arial"/>
          <w:color w:val="222222"/>
          <w:sz w:val="24"/>
          <w:szCs w:val="24"/>
        </w:rPr>
        <w:t>by December 31, 2023.</w:t>
      </w:r>
      <w:r w:rsidR="006616D6">
        <w:rPr>
          <w:rFonts w:ascii="Arial" w:eastAsia="Times New Roman" w:hAnsi="Arial" w:cs="Arial"/>
          <w:color w:val="222222"/>
          <w:sz w:val="24"/>
          <w:szCs w:val="24"/>
        </w:rPr>
        <w:t xml:space="preserve"> Does not include APG rate floor provision.</w:t>
      </w:r>
      <w:bookmarkStart w:id="0" w:name="_GoBack"/>
      <w:bookmarkEnd w:id="0"/>
    </w:p>
    <w:p w:rsidR="00840BB0" w:rsidRDefault="00840BB0" w:rsidP="00840B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Part JJ: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Penalties for Mental Health Law Violations: </w:t>
      </w:r>
      <w:r>
        <w:rPr>
          <w:rFonts w:ascii="Arial" w:eastAsia="Times New Roman" w:hAnsi="Arial" w:cs="Arial"/>
          <w:color w:val="222222"/>
          <w:sz w:val="24"/>
          <w:szCs w:val="24"/>
        </w:rPr>
        <w:t>Included.</w:t>
      </w:r>
    </w:p>
    <w:p w:rsidR="00840BB0" w:rsidRDefault="00840BB0" w:rsidP="00840B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Part MM: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New Proposal on Insurance Clinical Peer Reviewer Standards: </w:t>
      </w:r>
      <w:r>
        <w:rPr>
          <w:rFonts w:ascii="Arial" w:eastAsia="Times New Roman" w:hAnsi="Arial" w:cs="Arial"/>
          <w:color w:val="222222"/>
          <w:sz w:val="24"/>
          <w:szCs w:val="24"/>
        </w:rPr>
        <w:t>Includes proposal per one house budgets to update insurer clinical peer reviewer standards including additional standards for determinations involving SUD treatment to have a license to practice medicine, specialize in BH and experience in the delivery of SUD treatment.  And for the purpose of determinations re: MH treatment, have a license to practice medicine, specialize in BH and experience in delivery MH treatment.</w:t>
      </w:r>
    </w:p>
    <w:p w:rsidR="00840BB0" w:rsidRDefault="00840BB0" w:rsidP="00840B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Part NN: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New Proposal provide home care rate increases.</w:t>
      </w:r>
    </w:p>
    <w:p w:rsidR="00840BB0" w:rsidRDefault="00840BB0" w:rsidP="00840B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Part OO: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New Proposal creating Daniel’s Law Task Force: </w:t>
      </w:r>
      <w:r>
        <w:rPr>
          <w:rFonts w:ascii="Arial" w:eastAsia="Times New Roman" w:hAnsi="Arial" w:cs="Arial"/>
          <w:color w:val="222222"/>
          <w:sz w:val="24"/>
          <w:szCs w:val="24"/>
        </w:rPr>
        <w:t>Creates a 10-member task force established by OMH and OASAS to look at the effectiveness of crisis response and diversion services and to issue recommendations for expansion by 12/31/25.</w:t>
      </w:r>
    </w:p>
    <w:p w:rsidR="00840BB0" w:rsidRPr="00630AFD" w:rsidRDefault="00840BB0" w:rsidP="00840B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Part PP: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New Proposal creating Maternal Mental Health Work Group: </w:t>
      </w:r>
      <w:r>
        <w:rPr>
          <w:rFonts w:ascii="Arial" w:eastAsia="Times New Roman" w:hAnsi="Arial" w:cs="Arial"/>
          <w:color w:val="222222"/>
          <w:sz w:val="24"/>
          <w:szCs w:val="24"/>
        </w:rPr>
        <w:t>Creates a workgroup within OMH to study and issue recommendations related to material mental health, perinatal and post-partum mood and anxiety disorders.  Report with recommendations to be issued by 12/31/24.</w:t>
      </w:r>
    </w:p>
    <w:p w:rsidR="00114A89" w:rsidRDefault="00630AFD" w:rsidP="00630AFD">
      <w:r w:rsidRPr="00630A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--</w:t>
      </w:r>
    </w:p>
    <w:sectPr w:rsidR="00114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B09EF"/>
    <w:multiLevelType w:val="hybridMultilevel"/>
    <w:tmpl w:val="92CC4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85C81"/>
    <w:multiLevelType w:val="multilevel"/>
    <w:tmpl w:val="FDAA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1B"/>
    <w:rsid w:val="000611AD"/>
    <w:rsid w:val="00114A89"/>
    <w:rsid w:val="00332FCA"/>
    <w:rsid w:val="005932B4"/>
    <w:rsid w:val="00630AFD"/>
    <w:rsid w:val="006616D6"/>
    <w:rsid w:val="007557BD"/>
    <w:rsid w:val="00792200"/>
    <w:rsid w:val="00840BB0"/>
    <w:rsid w:val="008757A9"/>
    <w:rsid w:val="00A82DAD"/>
    <w:rsid w:val="00B23D01"/>
    <w:rsid w:val="00BD57B9"/>
    <w:rsid w:val="00CA69EE"/>
    <w:rsid w:val="00E51BDF"/>
    <w:rsid w:val="00EA721B"/>
    <w:rsid w:val="00EE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059BC"/>
  <w15:chartTrackingRefBased/>
  <w15:docId w15:val="{C3EA53E4-DCFF-4606-8DA6-0A4B5A57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9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1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1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Savage</dc:creator>
  <cp:keywords/>
  <dc:description/>
  <cp:lastModifiedBy>Marcy Savage</cp:lastModifiedBy>
  <cp:revision>6</cp:revision>
  <cp:lastPrinted>2023-03-07T22:38:00Z</cp:lastPrinted>
  <dcterms:created xsi:type="dcterms:W3CDTF">2023-05-01T01:09:00Z</dcterms:created>
  <dcterms:modified xsi:type="dcterms:W3CDTF">2023-05-01T02:29:00Z</dcterms:modified>
</cp:coreProperties>
</file>