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440"/>
        <w:gridCol w:w="3600"/>
        <w:gridCol w:w="3060"/>
      </w:tblGrid>
      <w:tr w:rsidR="00242D9A" w:rsidRPr="001B463E" w14:paraId="5AA8C295" w14:textId="77777777" w:rsidTr="00242D9A">
        <w:trPr>
          <w:trHeight w:val="1120"/>
          <w:jc w:val="center"/>
        </w:trPr>
        <w:tc>
          <w:tcPr>
            <w:tcW w:w="1165" w:type="dxa"/>
            <w:shd w:val="clear" w:color="000000" w:fill="176D4B"/>
            <w:vAlign w:val="center"/>
            <w:hideMark/>
          </w:tcPr>
          <w:p w14:paraId="724ECEBA" w14:textId="77777777" w:rsidR="00242D9A" w:rsidRPr="001B463E" w:rsidRDefault="00242D9A" w:rsidP="00E20C1B">
            <w:pPr>
              <w:jc w:val="center"/>
              <w:rPr>
                <w:rFonts w:ascii="Arial" w:eastAsia="Times New Roman" w:hAnsi="Arial" w:cs="Arial"/>
                <w:b/>
                <w:bCs/>
                <w:color w:val="FFFFFF"/>
                <w:kern w:val="0"/>
                <w:sz w:val="28"/>
                <w:szCs w:val="28"/>
                <w14:ligatures w14:val="none"/>
              </w:rPr>
            </w:pPr>
            <w:r w:rsidRPr="001B463E">
              <w:rPr>
                <w:rFonts w:ascii="Arial" w:eastAsia="Times New Roman" w:hAnsi="Arial" w:cs="Arial"/>
                <w:b/>
                <w:bCs/>
                <w:color w:val="FFFFFF"/>
                <w:kern w:val="0"/>
                <w:sz w:val="28"/>
                <w:szCs w:val="28"/>
                <w14:ligatures w14:val="none"/>
              </w:rPr>
              <w:t>HMH</w:t>
            </w:r>
          </w:p>
        </w:tc>
        <w:tc>
          <w:tcPr>
            <w:tcW w:w="1440" w:type="dxa"/>
            <w:shd w:val="clear" w:color="000000" w:fill="176D4B"/>
            <w:vAlign w:val="center"/>
            <w:hideMark/>
          </w:tcPr>
          <w:p w14:paraId="545DB47F" w14:textId="77777777" w:rsidR="00242D9A" w:rsidRPr="001B463E" w:rsidRDefault="00242D9A" w:rsidP="00E20C1B">
            <w:pPr>
              <w:jc w:val="center"/>
              <w:rPr>
                <w:rFonts w:ascii="Arial" w:eastAsia="Times New Roman" w:hAnsi="Arial" w:cs="Arial"/>
                <w:b/>
                <w:bCs/>
                <w:color w:val="FFFFFF"/>
                <w:kern w:val="0"/>
                <w:sz w:val="28"/>
                <w:szCs w:val="28"/>
                <w14:ligatures w14:val="none"/>
              </w:rPr>
            </w:pPr>
            <w:r w:rsidRPr="001B463E">
              <w:rPr>
                <w:rFonts w:ascii="Arial" w:eastAsia="Times New Roman" w:hAnsi="Arial" w:cs="Arial"/>
                <w:b/>
                <w:bCs/>
                <w:color w:val="FFFFFF"/>
                <w:kern w:val="0"/>
                <w:sz w:val="28"/>
                <w:szCs w:val="28"/>
                <w14:ligatures w14:val="none"/>
              </w:rPr>
              <w:t>Title</w:t>
            </w:r>
          </w:p>
        </w:tc>
        <w:tc>
          <w:tcPr>
            <w:tcW w:w="3600" w:type="dxa"/>
            <w:shd w:val="clear" w:color="000000" w:fill="176D4B"/>
            <w:vAlign w:val="center"/>
            <w:hideMark/>
          </w:tcPr>
          <w:p w14:paraId="29E260F4" w14:textId="1795E7F8" w:rsidR="00242D9A" w:rsidRPr="001B463E" w:rsidRDefault="00242D9A" w:rsidP="00E20C1B">
            <w:pPr>
              <w:jc w:val="center"/>
              <w:rPr>
                <w:rFonts w:ascii="Arial" w:eastAsia="Times New Roman" w:hAnsi="Arial" w:cs="Arial"/>
                <w:b/>
                <w:bCs/>
                <w:color w:val="FFFFFF"/>
                <w:kern w:val="0"/>
                <w:sz w:val="28"/>
                <w:szCs w:val="28"/>
                <w14:ligatures w14:val="none"/>
              </w:rPr>
            </w:pPr>
            <w:r w:rsidRPr="001B463E">
              <w:rPr>
                <w:rFonts w:ascii="Arial" w:eastAsia="Times New Roman" w:hAnsi="Arial" w:cs="Arial"/>
                <w:b/>
                <w:bCs/>
                <w:color w:val="FFFFFF"/>
                <w:kern w:val="0"/>
                <w:sz w:val="28"/>
                <w:szCs w:val="28"/>
                <w14:ligatures w14:val="none"/>
              </w:rPr>
              <w:t>Executive Proposal</w:t>
            </w:r>
            <w:r>
              <w:rPr>
                <w:rFonts w:ascii="Arial" w:eastAsia="Times New Roman" w:hAnsi="Arial" w:cs="Arial"/>
                <w:b/>
                <w:bCs/>
                <w:color w:val="FFFFFF"/>
                <w:kern w:val="0"/>
                <w:sz w:val="28"/>
                <w:szCs w:val="28"/>
                <w14:ligatures w14:val="none"/>
              </w:rPr>
              <w:t xml:space="preserve"> 25</w:t>
            </w:r>
          </w:p>
        </w:tc>
        <w:tc>
          <w:tcPr>
            <w:tcW w:w="3060" w:type="dxa"/>
            <w:shd w:val="clear" w:color="C9DAF8" w:fill="176D4B"/>
          </w:tcPr>
          <w:p w14:paraId="2B5F451F" w14:textId="77777777" w:rsidR="00242D9A" w:rsidRDefault="00242D9A" w:rsidP="00E20C1B">
            <w:pPr>
              <w:jc w:val="center"/>
              <w:rPr>
                <w:rFonts w:ascii="Arial" w:eastAsia="Times New Roman" w:hAnsi="Arial" w:cs="Arial"/>
                <w:b/>
                <w:bCs/>
                <w:color w:val="FFFFFF"/>
                <w:kern w:val="0"/>
                <w:sz w:val="28"/>
                <w:szCs w:val="28"/>
                <w14:ligatures w14:val="none"/>
              </w:rPr>
            </w:pPr>
            <w:r>
              <w:rPr>
                <w:rFonts w:ascii="Arial" w:eastAsia="Times New Roman" w:hAnsi="Arial" w:cs="Arial"/>
                <w:b/>
                <w:bCs/>
                <w:color w:val="FFFFFF"/>
                <w:kern w:val="0"/>
                <w:sz w:val="28"/>
                <w:szCs w:val="28"/>
                <w14:ligatures w14:val="none"/>
              </w:rPr>
              <w:t>Notes</w:t>
            </w:r>
          </w:p>
          <w:p w14:paraId="3854CBBF" w14:textId="471FA1EB" w:rsidR="00242D9A" w:rsidRDefault="00242D9A" w:rsidP="00E20C1B">
            <w:pPr>
              <w:jc w:val="center"/>
              <w:rPr>
                <w:rFonts w:ascii="Arial" w:eastAsia="Times New Roman" w:hAnsi="Arial" w:cs="Arial"/>
                <w:b/>
                <w:bCs/>
                <w:color w:val="FFFFFF"/>
                <w:kern w:val="0"/>
                <w:sz w:val="28"/>
                <w:szCs w:val="28"/>
                <w14:ligatures w14:val="none"/>
              </w:rPr>
            </w:pPr>
            <w:r>
              <w:rPr>
                <w:rFonts w:ascii="Arial" w:eastAsia="Times New Roman" w:hAnsi="Arial" w:cs="Arial"/>
                <w:b/>
                <w:bCs/>
                <w:color w:val="FFFFFF"/>
                <w:kern w:val="0"/>
                <w:sz w:val="28"/>
                <w:szCs w:val="28"/>
                <w14:ligatures w14:val="none"/>
              </w:rPr>
              <w:t>For 25</w:t>
            </w:r>
          </w:p>
        </w:tc>
      </w:tr>
      <w:tr w:rsidR="00242D9A" w:rsidRPr="001B463E" w14:paraId="6DEA8B93" w14:textId="77777777" w:rsidTr="00242D9A">
        <w:trPr>
          <w:trHeight w:val="315"/>
          <w:jc w:val="center"/>
        </w:trPr>
        <w:tc>
          <w:tcPr>
            <w:tcW w:w="1165" w:type="dxa"/>
            <w:shd w:val="clear" w:color="auto" w:fill="auto"/>
            <w:vAlign w:val="center"/>
            <w:hideMark/>
          </w:tcPr>
          <w:p w14:paraId="173DB59C"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A</w:t>
            </w:r>
          </w:p>
        </w:tc>
        <w:tc>
          <w:tcPr>
            <w:tcW w:w="1440" w:type="dxa"/>
            <w:shd w:val="clear" w:color="auto" w:fill="auto"/>
            <w:vAlign w:val="center"/>
            <w:hideMark/>
          </w:tcPr>
          <w:p w14:paraId="356CCF3B"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Global Cap Extension</w:t>
            </w:r>
          </w:p>
        </w:tc>
        <w:tc>
          <w:tcPr>
            <w:tcW w:w="3600" w:type="dxa"/>
            <w:shd w:val="clear" w:color="auto" w:fill="auto"/>
            <w:vAlign w:val="center"/>
            <w:hideMark/>
          </w:tcPr>
          <w:p w14:paraId="2A56CEB2" w14:textId="070A76AD"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Extends through 202</w:t>
            </w:r>
            <w:r>
              <w:rPr>
                <w:rFonts w:ascii="Arial" w:eastAsia="Times New Roman" w:hAnsi="Arial" w:cs="Arial"/>
                <w:color w:val="000000"/>
                <w:kern w:val="0"/>
                <w:sz w:val="20"/>
                <w:szCs w:val="20"/>
                <w14:ligatures w14:val="none"/>
              </w:rPr>
              <w:t>6</w:t>
            </w:r>
            <w:r w:rsidRPr="001B463E">
              <w:rPr>
                <w:rFonts w:ascii="Arial" w:eastAsia="Times New Roman" w:hAnsi="Arial" w:cs="Arial"/>
                <w:color w:val="000000"/>
                <w:kern w:val="0"/>
                <w:sz w:val="20"/>
                <w:szCs w:val="20"/>
                <w14:ligatures w14:val="none"/>
              </w:rPr>
              <w:t>.</w:t>
            </w:r>
          </w:p>
        </w:tc>
        <w:tc>
          <w:tcPr>
            <w:tcW w:w="3060" w:type="dxa"/>
          </w:tcPr>
          <w:p w14:paraId="685B7416" w14:textId="2BCD97D1" w:rsidR="00242D9A" w:rsidRPr="00033CC1" w:rsidRDefault="00242D9A" w:rsidP="00033CC1">
            <w:pPr>
              <w:rPr>
                <w:rFonts w:ascii="Arial" w:eastAsia="Times New Roman" w:hAnsi="Arial" w:cs="Arial"/>
                <w:color w:val="000000"/>
                <w:kern w:val="0"/>
                <w:sz w:val="20"/>
                <w:szCs w:val="20"/>
                <w14:ligatures w14:val="none"/>
              </w:rPr>
            </w:pPr>
            <w:r w:rsidRPr="00033CC1">
              <w:rPr>
                <w:sz w:val="20"/>
                <w:szCs w:val="20"/>
              </w:rPr>
              <w:t>indexed to the five-year rolling average of Medicaid spending projections within the National Health Expenditure Accounts produced by Office of the Actuary in the Centers for Medicare &amp; Medicaid Services,</w:t>
            </w:r>
          </w:p>
        </w:tc>
      </w:tr>
      <w:tr w:rsidR="00242D9A" w:rsidRPr="001B463E" w14:paraId="71EDCB93" w14:textId="77777777" w:rsidTr="00242D9A">
        <w:trPr>
          <w:trHeight w:val="1440"/>
          <w:jc w:val="center"/>
        </w:trPr>
        <w:tc>
          <w:tcPr>
            <w:tcW w:w="1165" w:type="dxa"/>
            <w:shd w:val="clear" w:color="auto" w:fill="auto"/>
            <w:vAlign w:val="center"/>
            <w:hideMark/>
          </w:tcPr>
          <w:p w14:paraId="36445208" w14:textId="36CEB2BB"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B</w:t>
            </w:r>
          </w:p>
        </w:tc>
        <w:tc>
          <w:tcPr>
            <w:tcW w:w="1440" w:type="dxa"/>
            <w:shd w:val="clear" w:color="auto" w:fill="auto"/>
            <w:vAlign w:val="center"/>
            <w:hideMark/>
          </w:tcPr>
          <w:p w14:paraId="760BCA74" w14:textId="2FBB3476"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H</w:t>
            </w:r>
            <w:r>
              <w:rPr>
                <w:rFonts w:ascii="Arial" w:eastAsia="Times New Roman" w:hAnsi="Arial" w:cs="Arial"/>
                <w:color w:val="000000"/>
                <w:kern w:val="0"/>
                <w:sz w:val="20"/>
                <w:szCs w:val="20"/>
                <w14:ligatures w14:val="none"/>
              </w:rPr>
              <w:t>ealth and Soc Serve</w:t>
            </w:r>
            <w:r w:rsidRPr="001B463E">
              <w:rPr>
                <w:rFonts w:ascii="Arial" w:eastAsia="Times New Roman" w:hAnsi="Arial" w:cs="Arial"/>
                <w:color w:val="000000"/>
                <w:kern w:val="0"/>
                <w:sz w:val="20"/>
                <w:szCs w:val="20"/>
                <w14:ligatures w14:val="none"/>
              </w:rPr>
              <w:t xml:space="preserve"> Extenders</w:t>
            </w:r>
          </w:p>
        </w:tc>
        <w:tc>
          <w:tcPr>
            <w:tcW w:w="3600" w:type="dxa"/>
            <w:shd w:val="clear" w:color="auto" w:fill="auto"/>
            <w:vAlign w:val="center"/>
            <w:hideMark/>
          </w:tcPr>
          <w:p w14:paraId="58AB3756" w14:textId="419951D3" w:rsidR="00242D9A" w:rsidRDefault="00242D9A" w:rsidP="00D754F7">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Section 1 – kids’ ‘Caid </w:t>
            </w:r>
            <w:proofErr w:type="spellStart"/>
            <w:r>
              <w:rPr>
                <w:rFonts w:ascii="Arial" w:eastAsia="Times New Roman" w:hAnsi="Arial" w:cs="Arial"/>
                <w:color w:val="000000"/>
                <w:kern w:val="0"/>
                <w:sz w:val="20"/>
                <w:szCs w:val="20"/>
                <w14:ligatures w14:val="none"/>
              </w:rPr>
              <w:t>elig</w:t>
            </w:r>
            <w:proofErr w:type="spellEnd"/>
            <w:r>
              <w:rPr>
                <w:rFonts w:ascii="Arial" w:eastAsia="Times New Roman" w:hAnsi="Arial" w:cs="Arial"/>
                <w:color w:val="000000"/>
                <w:kern w:val="0"/>
                <w:sz w:val="20"/>
                <w:szCs w:val="20"/>
                <w14:ligatures w14:val="none"/>
              </w:rPr>
              <w:t xml:space="preserve"> at home with parents </w:t>
            </w:r>
            <w:proofErr w:type="spellStart"/>
            <w:r>
              <w:rPr>
                <w:rFonts w:ascii="Arial" w:eastAsia="Times New Roman" w:hAnsi="Arial" w:cs="Arial"/>
                <w:color w:val="000000"/>
                <w:kern w:val="0"/>
                <w:sz w:val="20"/>
                <w:szCs w:val="20"/>
                <w14:ligatures w14:val="none"/>
              </w:rPr>
              <w:t>ext</w:t>
            </w:r>
            <w:proofErr w:type="spellEnd"/>
            <w:r>
              <w:rPr>
                <w:rFonts w:ascii="Arial" w:eastAsia="Times New Roman" w:hAnsi="Arial" w:cs="Arial"/>
                <w:color w:val="000000"/>
                <w:kern w:val="0"/>
                <w:sz w:val="20"/>
                <w:szCs w:val="20"/>
                <w14:ligatures w14:val="none"/>
              </w:rPr>
              <w:t xml:space="preserve"> 10/29</w:t>
            </w:r>
          </w:p>
          <w:p w14:paraId="4E11175E" w14:textId="60D17333" w:rsidR="00242D9A" w:rsidRDefault="00242D9A" w:rsidP="00D754F7">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Section 5 -telehealth parity </w:t>
            </w:r>
            <w:proofErr w:type="spellStart"/>
            <w:r>
              <w:rPr>
                <w:rFonts w:ascii="Arial" w:eastAsia="Times New Roman" w:hAnsi="Arial" w:cs="Arial"/>
                <w:color w:val="000000"/>
                <w:kern w:val="0"/>
                <w:sz w:val="20"/>
                <w:szCs w:val="20"/>
                <w14:ligatures w14:val="none"/>
              </w:rPr>
              <w:t>ext</w:t>
            </w:r>
            <w:proofErr w:type="spellEnd"/>
            <w:r>
              <w:rPr>
                <w:rFonts w:ascii="Arial" w:eastAsia="Times New Roman" w:hAnsi="Arial" w:cs="Arial"/>
                <w:color w:val="000000"/>
                <w:kern w:val="0"/>
                <w:sz w:val="20"/>
                <w:szCs w:val="20"/>
                <w14:ligatures w14:val="none"/>
              </w:rPr>
              <w:t xml:space="preserve"> 4/25</w:t>
            </w:r>
          </w:p>
          <w:p w14:paraId="3D62C445" w14:textId="166C4A9B" w:rsidR="00242D9A" w:rsidRPr="001B463E" w:rsidRDefault="00242D9A" w:rsidP="00D754F7">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Section 7 – extends </w:t>
            </w:r>
            <w:proofErr w:type="spellStart"/>
            <w:r>
              <w:rPr>
                <w:rFonts w:ascii="Arial" w:eastAsia="Times New Roman" w:hAnsi="Arial" w:cs="Arial"/>
                <w:color w:val="000000"/>
                <w:kern w:val="0"/>
                <w:sz w:val="20"/>
                <w:szCs w:val="20"/>
                <w14:ligatures w14:val="none"/>
              </w:rPr>
              <w:t>Opiod</w:t>
            </w:r>
            <w:proofErr w:type="spellEnd"/>
            <w:r>
              <w:rPr>
                <w:rFonts w:ascii="Arial" w:eastAsia="Times New Roman" w:hAnsi="Arial" w:cs="Arial"/>
                <w:color w:val="000000"/>
                <w:kern w:val="0"/>
                <w:sz w:val="20"/>
                <w:szCs w:val="20"/>
                <w14:ligatures w14:val="none"/>
              </w:rPr>
              <w:t xml:space="preserve"> </w:t>
            </w:r>
            <w:proofErr w:type="spellStart"/>
            <w:r>
              <w:rPr>
                <w:rFonts w:ascii="Arial" w:eastAsia="Times New Roman" w:hAnsi="Arial" w:cs="Arial"/>
                <w:color w:val="000000"/>
                <w:kern w:val="0"/>
                <w:sz w:val="20"/>
                <w:szCs w:val="20"/>
                <w14:ligatures w14:val="none"/>
              </w:rPr>
              <w:t>Stewdshp</w:t>
            </w:r>
            <w:proofErr w:type="spellEnd"/>
            <w:r>
              <w:rPr>
                <w:rFonts w:ascii="Arial" w:eastAsia="Times New Roman" w:hAnsi="Arial" w:cs="Arial"/>
                <w:color w:val="000000"/>
                <w:kern w:val="0"/>
                <w:sz w:val="20"/>
                <w:szCs w:val="20"/>
                <w14:ligatures w14:val="none"/>
              </w:rPr>
              <w:t xml:space="preserve"> through 6/27</w:t>
            </w:r>
          </w:p>
        </w:tc>
        <w:tc>
          <w:tcPr>
            <w:tcW w:w="3060" w:type="dxa"/>
          </w:tcPr>
          <w:p w14:paraId="5BF93CFD" w14:textId="77777777" w:rsidR="00242D9A" w:rsidRDefault="00242D9A" w:rsidP="00E20C1B">
            <w:pPr>
              <w:jc w:val="center"/>
              <w:rPr>
                <w:rFonts w:ascii="Arial" w:eastAsia="Times New Roman" w:hAnsi="Arial" w:cs="Arial"/>
                <w:color w:val="000000"/>
                <w:kern w:val="0"/>
                <w:sz w:val="20"/>
                <w:szCs w:val="20"/>
                <w14:ligatures w14:val="none"/>
              </w:rPr>
            </w:pPr>
          </w:p>
        </w:tc>
      </w:tr>
      <w:tr w:rsidR="00242D9A" w:rsidRPr="001B463E" w14:paraId="22DFCDB6" w14:textId="77777777" w:rsidTr="00242D9A">
        <w:trPr>
          <w:trHeight w:val="780"/>
          <w:jc w:val="center"/>
        </w:trPr>
        <w:tc>
          <w:tcPr>
            <w:tcW w:w="1165" w:type="dxa"/>
            <w:shd w:val="clear" w:color="auto" w:fill="auto"/>
            <w:vAlign w:val="center"/>
            <w:hideMark/>
          </w:tcPr>
          <w:p w14:paraId="4AA7C64E" w14:textId="2CEC6D35"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w:t>
            </w:r>
          </w:p>
        </w:tc>
        <w:tc>
          <w:tcPr>
            <w:tcW w:w="1440" w:type="dxa"/>
            <w:shd w:val="clear" w:color="auto" w:fill="auto"/>
            <w:vAlign w:val="center"/>
            <w:hideMark/>
          </w:tcPr>
          <w:p w14:paraId="216F88F6" w14:textId="1AC87201"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School Psychologists</w:t>
            </w:r>
          </w:p>
        </w:tc>
        <w:tc>
          <w:tcPr>
            <w:tcW w:w="3600" w:type="dxa"/>
            <w:shd w:val="clear" w:color="auto" w:fill="auto"/>
            <w:vAlign w:val="center"/>
            <w:hideMark/>
          </w:tcPr>
          <w:p w14:paraId="4EE60B0D" w14:textId="605D360E"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Removes temp auth for school psychologists to provide EI but allows delivery of non-EI services to </w:t>
            </w:r>
            <w:proofErr w:type="spellStart"/>
            <w:r>
              <w:rPr>
                <w:rFonts w:ascii="Arial" w:eastAsia="Times New Roman" w:hAnsi="Arial" w:cs="Arial"/>
                <w:color w:val="000000"/>
                <w:kern w:val="0"/>
                <w:sz w:val="20"/>
                <w:szCs w:val="20"/>
                <w14:ligatures w14:val="none"/>
              </w:rPr>
              <w:t>preK</w:t>
            </w:r>
            <w:proofErr w:type="spellEnd"/>
            <w:r>
              <w:rPr>
                <w:rFonts w:ascii="Arial" w:eastAsia="Times New Roman" w:hAnsi="Arial" w:cs="Arial"/>
                <w:color w:val="000000"/>
                <w:kern w:val="0"/>
                <w:sz w:val="20"/>
                <w:szCs w:val="20"/>
                <w14:ligatures w14:val="none"/>
              </w:rPr>
              <w:t xml:space="preserve"> youth</w:t>
            </w:r>
          </w:p>
        </w:tc>
        <w:tc>
          <w:tcPr>
            <w:tcW w:w="3060" w:type="dxa"/>
          </w:tcPr>
          <w:p w14:paraId="0520610B" w14:textId="50E73C9E"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Comply with federal law</w:t>
            </w:r>
          </w:p>
        </w:tc>
      </w:tr>
      <w:tr w:rsidR="00242D9A" w:rsidRPr="001B463E" w14:paraId="4467EB60" w14:textId="77777777" w:rsidTr="00242D9A">
        <w:trPr>
          <w:trHeight w:val="780"/>
          <w:jc w:val="center"/>
        </w:trPr>
        <w:tc>
          <w:tcPr>
            <w:tcW w:w="1165" w:type="dxa"/>
            <w:shd w:val="clear" w:color="auto" w:fill="auto"/>
            <w:vAlign w:val="center"/>
          </w:tcPr>
          <w:p w14:paraId="032F644A" w14:textId="61BD9172"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D</w:t>
            </w:r>
          </w:p>
        </w:tc>
        <w:tc>
          <w:tcPr>
            <w:tcW w:w="1440" w:type="dxa"/>
            <w:shd w:val="clear" w:color="auto" w:fill="auto"/>
            <w:vAlign w:val="center"/>
          </w:tcPr>
          <w:p w14:paraId="4C271B23" w14:textId="69690459"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Hospital rates</w:t>
            </w:r>
          </w:p>
        </w:tc>
        <w:tc>
          <w:tcPr>
            <w:tcW w:w="3600" w:type="dxa"/>
            <w:shd w:val="clear" w:color="auto" w:fill="auto"/>
            <w:vAlign w:val="center"/>
          </w:tcPr>
          <w:p w14:paraId="1348E6A9" w14:textId="4DC6200D"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Reduce capital rate add on by 10% and update UPL calculation with calendar year and extend Distressed Provider Assistance Program through 3/28</w:t>
            </w:r>
          </w:p>
        </w:tc>
        <w:tc>
          <w:tcPr>
            <w:tcW w:w="3060" w:type="dxa"/>
          </w:tcPr>
          <w:p w14:paraId="69BEC3D1" w14:textId="77777777"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$21 million in savings </w:t>
            </w:r>
            <w:proofErr w:type="spellStart"/>
            <w:r>
              <w:rPr>
                <w:rFonts w:ascii="Arial" w:eastAsia="Times New Roman" w:hAnsi="Arial" w:cs="Arial"/>
                <w:color w:val="000000"/>
                <w:kern w:val="0"/>
                <w:sz w:val="20"/>
                <w:szCs w:val="20"/>
                <w14:ligatures w14:val="none"/>
              </w:rPr>
              <w:t>yr</w:t>
            </w:r>
            <w:proofErr w:type="spellEnd"/>
            <w:r>
              <w:rPr>
                <w:rFonts w:ascii="Arial" w:eastAsia="Times New Roman" w:hAnsi="Arial" w:cs="Arial"/>
                <w:color w:val="000000"/>
                <w:kern w:val="0"/>
                <w:sz w:val="20"/>
                <w:szCs w:val="20"/>
                <w14:ligatures w14:val="none"/>
              </w:rPr>
              <w:t xml:space="preserve"> 1, $192 million SFY26</w:t>
            </w:r>
          </w:p>
          <w:p w14:paraId="6EC59CCF" w14:textId="3C72D106"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UPL change requested by CMS</w:t>
            </w:r>
          </w:p>
        </w:tc>
      </w:tr>
      <w:tr w:rsidR="00242D9A" w:rsidRPr="001B463E" w14:paraId="59034F29" w14:textId="77777777" w:rsidTr="00242D9A">
        <w:trPr>
          <w:trHeight w:val="780"/>
          <w:jc w:val="center"/>
        </w:trPr>
        <w:tc>
          <w:tcPr>
            <w:tcW w:w="1165" w:type="dxa"/>
            <w:shd w:val="clear" w:color="auto" w:fill="auto"/>
            <w:vAlign w:val="center"/>
          </w:tcPr>
          <w:p w14:paraId="23DFB815" w14:textId="6F00C789"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G</w:t>
            </w:r>
          </w:p>
        </w:tc>
        <w:tc>
          <w:tcPr>
            <w:tcW w:w="1440" w:type="dxa"/>
            <w:shd w:val="clear" w:color="auto" w:fill="auto"/>
            <w:vAlign w:val="center"/>
          </w:tcPr>
          <w:p w14:paraId="58A5D3B8" w14:textId="1E0E5A2F"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Consumer Directed Care</w:t>
            </w:r>
          </w:p>
        </w:tc>
        <w:tc>
          <w:tcPr>
            <w:tcW w:w="3600" w:type="dxa"/>
            <w:shd w:val="clear" w:color="auto" w:fill="auto"/>
            <w:vAlign w:val="center"/>
          </w:tcPr>
          <w:p w14:paraId="6CB82EBB" w14:textId="579BBEFF" w:rsidR="00242D9A" w:rsidRPr="004E5DA1" w:rsidRDefault="00242D9A" w:rsidP="00E20C1B">
            <w:pPr>
              <w:jc w:val="center"/>
              <w:rPr>
                <w:rFonts w:ascii="Arial" w:eastAsia="Times New Roman" w:hAnsi="Arial" w:cs="Arial"/>
                <w:color w:val="000000"/>
                <w:kern w:val="0"/>
                <w:sz w:val="20"/>
                <w:szCs w:val="20"/>
                <w14:ligatures w14:val="none"/>
              </w:rPr>
            </w:pPr>
            <w:r w:rsidRPr="004E5DA1">
              <w:rPr>
                <w:sz w:val="20"/>
                <w:szCs w:val="20"/>
              </w:rPr>
              <w:t>eliminates wage parity for personal assistants in the CDPAP</w:t>
            </w:r>
            <w:r>
              <w:rPr>
                <w:sz w:val="20"/>
                <w:szCs w:val="20"/>
              </w:rPr>
              <w:t xml:space="preserve"> in MTA counties</w:t>
            </w:r>
          </w:p>
        </w:tc>
        <w:tc>
          <w:tcPr>
            <w:tcW w:w="3060" w:type="dxa"/>
          </w:tcPr>
          <w:p w14:paraId="70E5A38F" w14:textId="29FADD7A"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Saves $200 million </w:t>
            </w:r>
            <w:proofErr w:type="spellStart"/>
            <w:r>
              <w:rPr>
                <w:rFonts w:ascii="Arial" w:eastAsia="Times New Roman" w:hAnsi="Arial" w:cs="Arial"/>
                <w:color w:val="000000"/>
                <w:kern w:val="0"/>
                <w:sz w:val="20"/>
                <w:szCs w:val="20"/>
                <w14:ligatures w14:val="none"/>
              </w:rPr>
              <w:t>yr</w:t>
            </w:r>
            <w:proofErr w:type="spellEnd"/>
            <w:r>
              <w:rPr>
                <w:rFonts w:ascii="Arial" w:eastAsia="Times New Roman" w:hAnsi="Arial" w:cs="Arial"/>
                <w:color w:val="000000"/>
                <w:kern w:val="0"/>
                <w:sz w:val="20"/>
                <w:szCs w:val="20"/>
                <w14:ligatures w14:val="none"/>
              </w:rPr>
              <w:t xml:space="preserve"> 1 and $400.8 million </w:t>
            </w:r>
            <w:proofErr w:type="spellStart"/>
            <w:r>
              <w:rPr>
                <w:rFonts w:ascii="Arial" w:eastAsia="Times New Roman" w:hAnsi="Arial" w:cs="Arial"/>
                <w:color w:val="000000"/>
                <w:kern w:val="0"/>
                <w:sz w:val="20"/>
                <w:szCs w:val="20"/>
                <w14:ligatures w14:val="none"/>
              </w:rPr>
              <w:t>yr</w:t>
            </w:r>
            <w:proofErr w:type="spellEnd"/>
            <w:r>
              <w:rPr>
                <w:rFonts w:ascii="Arial" w:eastAsia="Times New Roman" w:hAnsi="Arial" w:cs="Arial"/>
                <w:color w:val="000000"/>
                <w:kern w:val="0"/>
                <w:sz w:val="20"/>
                <w:szCs w:val="20"/>
                <w14:ligatures w14:val="none"/>
              </w:rPr>
              <w:t xml:space="preserve"> 2</w:t>
            </w:r>
          </w:p>
        </w:tc>
      </w:tr>
      <w:tr w:rsidR="00242D9A" w:rsidRPr="001B463E" w14:paraId="5B37A52A" w14:textId="77777777" w:rsidTr="00242D9A">
        <w:trPr>
          <w:trHeight w:val="940"/>
          <w:jc w:val="center"/>
        </w:trPr>
        <w:tc>
          <w:tcPr>
            <w:tcW w:w="1165" w:type="dxa"/>
            <w:vMerge w:val="restart"/>
            <w:shd w:val="clear" w:color="auto" w:fill="auto"/>
            <w:vAlign w:val="center"/>
            <w:hideMark/>
          </w:tcPr>
          <w:p w14:paraId="4B62347A"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H</w:t>
            </w:r>
          </w:p>
        </w:tc>
        <w:tc>
          <w:tcPr>
            <w:tcW w:w="1440" w:type="dxa"/>
            <w:vMerge w:val="restart"/>
            <w:shd w:val="clear" w:color="auto" w:fill="auto"/>
            <w:vAlign w:val="center"/>
            <w:hideMark/>
          </w:tcPr>
          <w:p w14:paraId="11840065" w14:textId="40075DC5"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MMC Plan changes</w:t>
            </w:r>
          </w:p>
        </w:tc>
        <w:tc>
          <w:tcPr>
            <w:tcW w:w="3600" w:type="dxa"/>
            <w:shd w:val="clear" w:color="auto" w:fill="auto"/>
            <w:vAlign w:val="center"/>
            <w:hideMark/>
          </w:tcPr>
          <w:p w14:paraId="2C2A7AA1" w14:textId="77777777" w:rsidR="00242D9A" w:rsidRDefault="00242D9A" w:rsidP="006005B2">
            <w:pPr>
              <w:rPr>
                <w:sz w:val="20"/>
                <w:szCs w:val="20"/>
              </w:rPr>
            </w:pPr>
            <w:r w:rsidRPr="001B463E">
              <w:rPr>
                <w:rFonts w:ascii="Arial" w:eastAsia="Times New Roman" w:hAnsi="Arial" w:cs="Arial"/>
                <w:color w:val="000000"/>
                <w:kern w:val="0"/>
                <w:sz w:val="20"/>
                <w:szCs w:val="20"/>
                <w14:ligatures w14:val="none"/>
              </w:rPr>
              <w:t>Section 1:</w:t>
            </w:r>
            <w:r w:rsidRPr="006005B2">
              <w:rPr>
                <w:rFonts w:ascii="Arial" w:eastAsia="Times New Roman" w:hAnsi="Arial" w:cs="Arial"/>
                <w:color w:val="000000"/>
                <w:kern w:val="0"/>
                <w:sz w:val="20"/>
                <w:szCs w:val="20"/>
                <w14:ligatures w14:val="none"/>
              </w:rPr>
              <w:t xml:space="preserve"> </w:t>
            </w:r>
            <w:r w:rsidRPr="006005B2">
              <w:rPr>
                <w:sz w:val="20"/>
                <w:szCs w:val="20"/>
              </w:rPr>
              <w:t xml:space="preserve">exclude Medicaid from the independent dispute resolution </w:t>
            </w:r>
            <w:proofErr w:type="gramStart"/>
            <w:r w:rsidRPr="006005B2">
              <w:rPr>
                <w:sz w:val="20"/>
                <w:szCs w:val="20"/>
              </w:rPr>
              <w:t>process</w:t>
            </w:r>
            <w:proofErr w:type="gramEnd"/>
          </w:p>
          <w:p w14:paraId="100FCE87" w14:textId="16E43713" w:rsidR="00242D9A" w:rsidRPr="001B463E" w:rsidRDefault="00242D9A" w:rsidP="006005B2">
            <w:pPr>
              <w:rPr>
                <w:rFonts w:ascii="Arial" w:eastAsia="Times New Roman" w:hAnsi="Arial" w:cs="Arial"/>
                <w:color w:val="000000"/>
                <w:kern w:val="0"/>
                <w:sz w:val="20"/>
                <w:szCs w:val="20"/>
                <w14:ligatures w14:val="none"/>
              </w:rPr>
            </w:pPr>
            <w:r>
              <w:rPr>
                <w:sz w:val="20"/>
                <w:szCs w:val="20"/>
              </w:rPr>
              <w:t xml:space="preserve">Section 2: </w:t>
            </w:r>
            <w:r w:rsidRPr="006005B2">
              <w:rPr>
                <w:sz w:val="20"/>
                <w:szCs w:val="20"/>
              </w:rPr>
              <w:t>require the State to procure Medicaid managed care benefits from Medicaid Managed Care (MMC) plans, Managed Long Term Care (MLTC) plans, Medicaid Advantage Plus (MAP) plans, and Health and Recovery Plans (HARP) plans</w:t>
            </w:r>
          </w:p>
        </w:tc>
        <w:tc>
          <w:tcPr>
            <w:tcW w:w="3060" w:type="dxa"/>
          </w:tcPr>
          <w:p w14:paraId="5B5B4B3C" w14:textId="77777777" w:rsidR="00242D9A" w:rsidRPr="007C702C" w:rsidRDefault="00242D9A" w:rsidP="00E20C1B">
            <w:pPr>
              <w:jc w:val="center"/>
              <w:rPr>
                <w:rFonts w:ascii="Arial" w:eastAsia="Times New Roman" w:hAnsi="Arial" w:cs="Arial"/>
                <w:color w:val="000000"/>
                <w:kern w:val="0"/>
                <w:sz w:val="20"/>
                <w:szCs w:val="20"/>
                <w14:ligatures w14:val="none"/>
              </w:rPr>
            </w:pPr>
          </w:p>
        </w:tc>
      </w:tr>
      <w:tr w:rsidR="00242D9A" w:rsidRPr="001B463E" w14:paraId="47260965" w14:textId="77777777" w:rsidTr="00242D9A">
        <w:trPr>
          <w:trHeight w:val="1070"/>
          <w:jc w:val="center"/>
        </w:trPr>
        <w:tc>
          <w:tcPr>
            <w:tcW w:w="1165" w:type="dxa"/>
            <w:vMerge/>
            <w:vAlign w:val="center"/>
            <w:hideMark/>
          </w:tcPr>
          <w:p w14:paraId="00C8265C"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1440" w:type="dxa"/>
            <w:vMerge/>
            <w:vAlign w:val="center"/>
            <w:hideMark/>
          </w:tcPr>
          <w:p w14:paraId="197452B1"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3600" w:type="dxa"/>
            <w:shd w:val="clear" w:color="auto" w:fill="auto"/>
            <w:vAlign w:val="center"/>
            <w:hideMark/>
          </w:tcPr>
          <w:p w14:paraId="1E951DC8" w14:textId="78420BBC" w:rsidR="00242D9A" w:rsidRPr="001B463E" w:rsidRDefault="00242D9A" w:rsidP="006005B2">
            <w:pPr>
              <w:rPr>
                <w:rFonts w:ascii="Arial" w:eastAsia="Times New Roman" w:hAnsi="Arial" w:cs="Arial"/>
                <w:color w:val="000000"/>
                <w:kern w:val="0"/>
                <w:sz w:val="20"/>
                <w:szCs w:val="20"/>
                <w14:ligatures w14:val="none"/>
              </w:rPr>
            </w:pPr>
            <w:r w:rsidRPr="006005B2">
              <w:rPr>
                <w:rFonts w:ascii="Arial" w:eastAsia="Times New Roman" w:hAnsi="Arial" w:cs="Arial"/>
                <w:color w:val="000000"/>
                <w:kern w:val="0"/>
                <w:sz w:val="20"/>
                <w:szCs w:val="20"/>
                <w14:ligatures w14:val="none"/>
              </w:rPr>
              <w:t xml:space="preserve">Section </w:t>
            </w:r>
            <w:proofErr w:type="gramStart"/>
            <w:r w:rsidRPr="006005B2">
              <w:rPr>
                <w:rFonts w:ascii="Arial" w:eastAsia="Times New Roman" w:hAnsi="Arial" w:cs="Arial"/>
                <w:color w:val="000000"/>
                <w:kern w:val="0"/>
                <w:sz w:val="20"/>
                <w:szCs w:val="20"/>
                <w14:ligatures w14:val="none"/>
              </w:rPr>
              <w:t>3 .</w:t>
            </w:r>
            <w:proofErr w:type="gramEnd"/>
            <w:r w:rsidRPr="006005B2">
              <w:rPr>
                <w:sz w:val="20"/>
                <w:szCs w:val="20"/>
              </w:rPr>
              <w:t xml:space="preserve"> </w:t>
            </w:r>
            <w:r w:rsidRPr="006005B2">
              <w:rPr>
                <w:sz w:val="20"/>
                <w:szCs w:val="20"/>
              </w:rPr>
              <w:t>eliminate the 1 percent across the board (ATB) administrative rate increase provided to Medicaid managed</w:t>
            </w:r>
            <w:r>
              <w:t xml:space="preserve"> </w:t>
            </w:r>
            <w:r w:rsidRPr="006005B2">
              <w:rPr>
                <w:sz w:val="20"/>
                <w:szCs w:val="20"/>
              </w:rPr>
              <w:t xml:space="preserve">care organizations </w:t>
            </w:r>
            <w:proofErr w:type="gramStart"/>
            <w:r w:rsidRPr="006005B2">
              <w:rPr>
                <w:sz w:val="20"/>
                <w:szCs w:val="20"/>
              </w:rPr>
              <w:t>as a result of</w:t>
            </w:r>
            <w:proofErr w:type="gramEnd"/>
            <w:r w:rsidRPr="006005B2">
              <w:rPr>
                <w:sz w:val="20"/>
                <w:szCs w:val="20"/>
              </w:rPr>
              <w:t xml:space="preserve"> the FY 2022-23 Enacted Budget</w:t>
            </w:r>
          </w:p>
        </w:tc>
        <w:tc>
          <w:tcPr>
            <w:tcW w:w="3060" w:type="dxa"/>
          </w:tcPr>
          <w:p w14:paraId="4786ABD1" w14:textId="60419D6B"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Stay within Global Cap</w:t>
            </w:r>
          </w:p>
        </w:tc>
      </w:tr>
      <w:tr w:rsidR="00242D9A" w:rsidRPr="001B463E" w14:paraId="69E2D87D" w14:textId="77777777" w:rsidTr="00242D9A">
        <w:trPr>
          <w:trHeight w:val="701"/>
          <w:jc w:val="center"/>
        </w:trPr>
        <w:tc>
          <w:tcPr>
            <w:tcW w:w="1165" w:type="dxa"/>
            <w:vMerge/>
            <w:vAlign w:val="center"/>
            <w:hideMark/>
          </w:tcPr>
          <w:p w14:paraId="194336F8"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1440" w:type="dxa"/>
            <w:vMerge/>
            <w:vAlign w:val="center"/>
            <w:hideMark/>
          </w:tcPr>
          <w:p w14:paraId="42A08250"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3600" w:type="dxa"/>
            <w:shd w:val="clear" w:color="auto" w:fill="auto"/>
            <w:vAlign w:val="center"/>
            <w:hideMark/>
          </w:tcPr>
          <w:p w14:paraId="22B41613" w14:textId="1AAA27A7" w:rsidR="00242D9A" w:rsidRPr="006005B2" w:rsidRDefault="00242D9A" w:rsidP="006005B2">
            <w:pPr>
              <w:rPr>
                <w:rFonts w:ascii="Arial" w:eastAsia="Times New Roman" w:hAnsi="Arial" w:cs="Arial"/>
                <w:color w:val="000000"/>
                <w:kern w:val="0"/>
                <w:sz w:val="20"/>
                <w:szCs w:val="20"/>
                <w14:ligatures w14:val="none"/>
              </w:rPr>
            </w:pPr>
            <w:r w:rsidRPr="006005B2">
              <w:rPr>
                <w:rFonts w:ascii="Arial" w:eastAsia="Times New Roman" w:hAnsi="Arial" w:cs="Arial"/>
                <w:color w:val="000000"/>
                <w:kern w:val="0"/>
                <w:sz w:val="20"/>
                <w:szCs w:val="20"/>
                <w14:ligatures w14:val="none"/>
              </w:rPr>
              <w:t>Section 4:</w:t>
            </w:r>
            <w:r w:rsidRPr="006005B2">
              <w:rPr>
                <w:sz w:val="20"/>
                <w:szCs w:val="20"/>
              </w:rPr>
              <w:t xml:space="preserve"> </w:t>
            </w:r>
            <w:r w:rsidRPr="006005B2">
              <w:rPr>
                <w:sz w:val="20"/>
                <w:szCs w:val="20"/>
              </w:rPr>
              <w:t>holding Medicaid managed care plans accountable when they fail to meet their contractual responsibilities</w:t>
            </w:r>
            <w:r w:rsidRPr="006005B2">
              <w:rPr>
                <w:rFonts w:ascii="Arial" w:eastAsia="Times New Roman" w:hAnsi="Arial" w:cs="Arial"/>
                <w:color w:val="000000"/>
                <w:kern w:val="0"/>
                <w:sz w:val="20"/>
                <w:szCs w:val="20"/>
                <w14:ligatures w14:val="none"/>
              </w:rPr>
              <w:t>.</w:t>
            </w:r>
          </w:p>
        </w:tc>
        <w:tc>
          <w:tcPr>
            <w:tcW w:w="3060" w:type="dxa"/>
          </w:tcPr>
          <w:p w14:paraId="31795F8D" w14:textId="77777777" w:rsidR="00242D9A" w:rsidRPr="001B463E" w:rsidRDefault="00242D9A" w:rsidP="00E20C1B">
            <w:pPr>
              <w:jc w:val="center"/>
              <w:rPr>
                <w:rFonts w:ascii="Arial" w:eastAsia="Times New Roman" w:hAnsi="Arial" w:cs="Arial"/>
                <w:color w:val="000000"/>
                <w:kern w:val="0"/>
                <w:sz w:val="20"/>
                <w:szCs w:val="20"/>
                <w14:ligatures w14:val="none"/>
              </w:rPr>
            </w:pPr>
          </w:p>
        </w:tc>
      </w:tr>
      <w:tr w:rsidR="00242D9A" w:rsidRPr="001B463E" w14:paraId="1456AA52" w14:textId="77777777" w:rsidTr="00242D9A">
        <w:trPr>
          <w:trHeight w:val="1040"/>
          <w:jc w:val="center"/>
        </w:trPr>
        <w:tc>
          <w:tcPr>
            <w:tcW w:w="1165" w:type="dxa"/>
            <w:vMerge w:val="restart"/>
            <w:shd w:val="clear" w:color="auto" w:fill="auto"/>
            <w:vAlign w:val="center"/>
            <w:hideMark/>
          </w:tcPr>
          <w:p w14:paraId="3E981B30"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I</w:t>
            </w:r>
          </w:p>
        </w:tc>
        <w:tc>
          <w:tcPr>
            <w:tcW w:w="1440" w:type="dxa"/>
            <w:vMerge w:val="restart"/>
            <w:shd w:val="clear" w:color="auto" w:fill="auto"/>
            <w:vAlign w:val="center"/>
            <w:hideMark/>
          </w:tcPr>
          <w:p w14:paraId="6C57C9DD" w14:textId="496553E0"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Pharmacy reforms</w:t>
            </w:r>
          </w:p>
        </w:tc>
        <w:tc>
          <w:tcPr>
            <w:tcW w:w="3600" w:type="dxa"/>
            <w:shd w:val="clear" w:color="auto" w:fill="auto"/>
            <w:vAlign w:val="center"/>
            <w:hideMark/>
          </w:tcPr>
          <w:p w14:paraId="7EE823C9" w14:textId="40968A2A" w:rsidR="00242D9A" w:rsidRPr="001B463E" w:rsidRDefault="00242D9A" w:rsidP="00103D12">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Repeals prescriber prevails</w:t>
            </w:r>
          </w:p>
        </w:tc>
        <w:tc>
          <w:tcPr>
            <w:tcW w:w="3060" w:type="dxa"/>
          </w:tcPr>
          <w:p w14:paraId="534F1D8E" w14:textId="31E16A19"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Total savings for all 3 parts $37.4 in year 1 and $87 million in FY 26</w:t>
            </w:r>
          </w:p>
        </w:tc>
      </w:tr>
      <w:tr w:rsidR="00242D9A" w:rsidRPr="001B463E" w14:paraId="5D4CCA37" w14:textId="77777777" w:rsidTr="00242D9A">
        <w:trPr>
          <w:trHeight w:val="2080"/>
          <w:jc w:val="center"/>
        </w:trPr>
        <w:tc>
          <w:tcPr>
            <w:tcW w:w="1165" w:type="dxa"/>
            <w:vMerge/>
            <w:vAlign w:val="center"/>
            <w:hideMark/>
          </w:tcPr>
          <w:p w14:paraId="5BD0DA63"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1440" w:type="dxa"/>
            <w:vMerge/>
            <w:vAlign w:val="center"/>
            <w:hideMark/>
          </w:tcPr>
          <w:p w14:paraId="7656F68E"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3600" w:type="dxa"/>
            <w:shd w:val="clear" w:color="auto" w:fill="auto"/>
            <w:vAlign w:val="center"/>
            <w:hideMark/>
          </w:tcPr>
          <w:p w14:paraId="013DA9B0" w14:textId="037CDF96" w:rsidR="00242D9A" w:rsidRPr="00103D12" w:rsidRDefault="00242D9A" w:rsidP="00103D12">
            <w:pPr>
              <w:rPr>
                <w:rFonts w:ascii="Arial" w:eastAsia="Times New Roman" w:hAnsi="Arial" w:cs="Arial"/>
                <w:color w:val="000000"/>
                <w:kern w:val="0"/>
                <w:sz w:val="20"/>
                <w:szCs w:val="20"/>
                <w14:ligatures w14:val="none"/>
              </w:rPr>
            </w:pPr>
            <w:r w:rsidRPr="00103D12">
              <w:rPr>
                <w:sz w:val="20"/>
                <w:szCs w:val="20"/>
              </w:rPr>
              <w:t>modifications to the over-the</w:t>
            </w:r>
            <w:r>
              <w:rPr>
                <w:sz w:val="20"/>
                <w:szCs w:val="20"/>
              </w:rPr>
              <w:t xml:space="preserve"> </w:t>
            </w:r>
            <w:r w:rsidRPr="00103D12">
              <w:rPr>
                <w:sz w:val="20"/>
                <w:szCs w:val="20"/>
              </w:rPr>
              <w:t>counter drugs that are covered by Medicaid</w:t>
            </w:r>
            <w:r>
              <w:rPr>
                <w:sz w:val="20"/>
                <w:szCs w:val="20"/>
              </w:rPr>
              <w:t xml:space="preserve"> to mirror Medicare Part D</w:t>
            </w:r>
          </w:p>
        </w:tc>
        <w:tc>
          <w:tcPr>
            <w:tcW w:w="3060" w:type="dxa"/>
          </w:tcPr>
          <w:p w14:paraId="7F8D7F9F" w14:textId="77777777" w:rsidR="00242D9A" w:rsidRPr="007C702C" w:rsidRDefault="00242D9A" w:rsidP="00E20C1B">
            <w:pPr>
              <w:jc w:val="center"/>
              <w:rPr>
                <w:rFonts w:ascii="Arial" w:eastAsia="Times New Roman" w:hAnsi="Arial" w:cs="Arial"/>
                <w:color w:val="000000"/>
                <w:kern w:val="0"/>
                <w:sz w:val="20"/>
                <w:szCs w:val="20"/>
                <w14:ligatures w14:val="none"/>
              </w:rPr>
            </w:pPr>
          </w:p>
        </w:tc>
      </w:tr>
      <w:tr w:rsidR="00242D9A" w:rsidRPr="001B463E" w14:paraId="3C835C1E" w14:textId="77777777" w:rsidTr="00242D9A">
        <w:trPr>
          <w:trHeight w:val="1020"/>
          <w:jc w:val="center"/>
        </w:trPr>
        <w:tc>
          <w:tcPr>
            <w:tcW w:w="1165" w:type="dxa"/>
            <w:vMerge/>
            <w:vAlign w:val="center"/>
            <w:hideMark/>
          </w:tcPr>
          <w:p w14:paraId="65F680C9"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1440" w:type="dxa"/>
            <w:vMerge/>
            <w:vAlign w:val="center"/>
            <w:hideMark/>
          </w:tcPr>
          <w:p w14:paraId="3CB792EF" w14:textId="77777777" w:rsidR="00242D9A" w:rsidRPr="001B463E" w:rsidRDefault="00242D9A" w:rsidP="00E20C1B">
            <w:pPr>
              <w:jc w:val="center"/>
              <w:rPr>
                <w:rFonts w:ascii="Arial" w:eastAsia="Times New Roman" w:hAnsi="Arial" w:cs="Arial"/>
                <w:color w:val="000000"/>
                <w:kern w:val="0"/>
                <w:sz w:val="20"/>
                <w:szCs w:val="20"/>
                <w14:ligatures w14:val="none"/>
              </w:rPr>
            </w:pPr>
          </w:p>
        </w:tc>
        <w:tc>
          <w:tcPr>
            <w:tcW w:w="3600" w:type="dxa"/>
            <w:shd w:val="clear" w:color="auto" w:fill="auto"/>
            <w:vAlign w:val="center"/>
            <w:hideMark/>
          </w:tcPr>
          <w:p w14:paraId="698CB496" w14:textId="1ADB9B5B" w:rsidR="00242D9A" w:rsidRPr="00103D12" w:rsidRDefault="00242D9A" w:rsidP="00103D12">
            <w:pPr>
              <w:rPr>
                <w:rFonts w:ascii="Arial" w:eastAsia="Times New Roman" w:hAnsi="Arial" w:cs="Arial"/>
                <w:color w:val="000000"/>
                <w:kern w:val="0"/>
                <w:sz w:val="20"/>
                <w:szCs w:val="20"/>
                <w14:ligatures w14:val="none"/>
              </w:rPr>
            </w:pPr>
            <w:r w:rsidRPr="00103D12">
              <w:rPr>
                <w:rFonts w:ascii="Arial" w:eastAsia="Times New Roman" w:hAnsi="Arial" w:cs="Arial"/>
                <w:color w:val="000000"/>
                <w:kern w:val="0"/>
                <w:sz w:val="20"/>
                <w:szCs w:val="20"/>
                <w14:ligatures w14:val="none"/>
              </w:rPr>
              <w:t>Change Medicaid Drug Cap -</w:t>
            </w:r>
            <w:r w:rsidRPr="00103D12">
              <w:rPr>
                <w:sz w:val="20"/>
                <w:szCs w:val="20"/>
              </w:rPr>
              <w:t xml:space="preserve"> phase out the current pharmacy spending cap, allowing the State to directly negotiate enhanced rebates</w:t>
            </w:r>
          </w:p>
        </w:tc>
        <w:tc>
          <w:tcPr>
            <w:tcW w:w="3060" w:type="dxa"/>
          </w:tcPr>
          <w:p w14:paraId="4F0A9918" w14:textId="77777777" w:rsidR="00242D9A" w:rsidRDefault="00242D9A" w:rsidP="00E20C1B">
            <w:pPr>
              <w:jc w:val="center"/>
              <w:rPr>
                <w:rFonts w:ascii="Arial" w:eastAsia="Times New Roman" w:hAnsi="Arial" w:cs="Arial"/>
                <w:color w:val="000000"/>
                <w:kern w:val="0"/>
                <w:sz w:val="20"/>
                <w:szCs w:val="20"/>
                <w14:ligatures w14:val="none"/>
              </w:rPr>
            </w:pPr>
          </w:p>
        </w:tc>
      </w:tr>
      <w:tr w:rsidR="00242D9A" w:rsidRPr="001B463E" w14:paraId="64455C9A" w14:textId="77777777" w:rsidTr="00242D9A">
        <w:trPr>
          <w:trHeight w:val="520"/>
          <w:jc w:val="center"/>
        </w:trPr>
        <w:tc>
          <w:tcPr>
            <w:tcW w:w="1165" w:type="dxa"/>
            <w:shd w:val="clear" w:color="auto" w:fill="auto"/>
            <w:vAlign w:val="center"/>
            <w:hideMark/>
          </w:tcPr>
          <w:p w14:paraId="1671CB7C"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J</w:t>
            </w:r>
          </w:p>
        </w:tc>
        <w:tc>
          <w:tcPr>
            <w:tcW w:w="1440" w:type="dxa"/>
            <w:shd w:val="clear" w:color="auto" w:fill="auto"/>
            <w:vAlign w:val="center"/>
            <w:hideMark/>
          </w:tcPr>
          <w:p w14:paraId="26980CB2" w14:textId="3C1DDA1E"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Essential Plan proposals</w:t>
            </w:r>
          </w:p>
        </w:tc>
        <w:tc>
          <w:tcPr>
            <w:tcW w:w="3600" w:type="dxa"/>
            <w:shd w:val="clear" w:color="auto" w:fill="auto"/>
            <w:vAlign w:val="center"/>
          </w:tcPr>
          <w:p w14:paraId="28956156" w14:textId="763968E8" w:rsidR="00242D9A" w:rsidRDefault="00242D9A" w:rsidP="00AD4451">
            <w:pPr>
              <w:rPr>
                <w:sz w:val="20"/>
                <w:szCs w:val="20"/>
              </w:rPr>
            </w:pPr>
            <w:r>
              <w:rPr>
                <w:sz w:val="20"/>
                <w:szCs w:val="20"/>
              </w:rPr>
              <w:t>-</w:t>
            </w:r>
            <w:r>
              <w:t xml:space="preserve"> </w:t>
            </w:r>
            <w:r w:rsidRPr="00AD4451">
              <w:rPr>
                <w:sz w:val="20"/>
                <w:szCs w:val="20"/>
              </w:rPr>
              <w:t>renam</w:t>
            </w:r>
            <w:r w:rsidRPr="00AD4451">
              <w:rPr>
                <w:sz w:val="20"/>
                <w:szCs w:val="20"/>
              </w:rPr>
              <w:t>es</w:t>
            </w:r>
            <w:r w:rsidRPr="00AD4451">
              <w:rPr>
                <w:sz w:val="20"/>
                <w:szCs w:val="20"/>
              </w:rPr>
              <w:t xml:space="preserve"> the Essential Plan program to clarify that it may be operated pursuant to the Basic Health Program</w:t>
            </w:r>
          </w:p>
          <w:p w14:paraId="070BCDB0" w14:textId="77777777" w:rsidR="00242D9A" w:rsidRPr="00AD4451" w:rsidRDefault="00242D9A" w:rsidP="00AD4451">
            <w:pPr>
              <w:rPr>
                <w:sz w:val="20"/>
                <w:szCs w:val="20"/>
              </w:rPr>
            </w:pPr>
            <w:r w:rsidRPr="00AD4451">
              <w:rPr>
                <w:sz w:val="20"/>
                <w:szCs w:val="20"/>
              </w:rPr>
              <w:t xml:space="preserve">- </w:t>
            </w:r>
            <w:r w:rsidRPr="00AD4451">
              <w:rPr>
                <w:sz w:val="20"/>
                <w:szCs w:val="20"/>
              </w:rPr>
              <w:t xml:space="preserve">extend for </w:t>
            </w:r>
            <w:proofErr w:type="gramStart"/>
            <w:r w:rsidRPr="00AD4451">
              <w:rPr>
                <w:sz w:val="20"/>
                <w:szCs w:val="20"/>
              </w:rPr>
              <w:t>one year</w:t>
            </w:r>
            <w:proofErr w:type="gramEnd"/>
            <w:r w:rsidRPr="00AD4451">
              <w:rPr>
                <w:sz w:val="20"/>
                <w:szCs w:val="20"/>
              </w:rPr>
              <w:t xml:space="preserve"> </w:t>
            </w:r>
            <w:r w:rsidRPr="00AD4451">
              <w:rPr>
                <w:sz w:val="20"/>
                <w:szCs w:val="20"/>
              </w:rPr>
              <w:t>DOH’s</w:t>
            </w:r>
            <w:r w:rsidRPr="00AD4451">
              <w:rPr>
                <w:sz w:val="20"/>
                <w:szCs w:val="20"/>
              </w:rPr>
              <w:t xml:space="preserve"> authority to provide LTSS to lawfully present individuals between 0 and 138 percent of FPL (the “</w:t>
            </w:r>
            <w:proofErr w:type="spellStart"/>
            <w:r w:rsidRPr="00AD4451">
              <w:rPr>
                <w:sz w:val="20"/>
                <w:szCs w:val="20"/>
              </w:rPr>
              <w:t>Aliessa</w:t>
            </w:r>
            <w:proofErr w:type="spellEnd"/>
            <w:r w:rsidRPr="00AD4451">
              <w:rPr>
                <w:sz w:val="20"/>
                <w:szCs w:val="20"/>
              </w:rPr>
              <w:t xml:space="preserve">” population in Essential Plan 3 and 4). </w:t>
            </w:r>
          </w:p>
          <w:p w14:paraId="3A461C6D" w14:textId="6ADE9D1F" w:rsidR="00242D9A" w:rsidRPr="00AD4451" w:rsidRDefault="00242D9A" w:rsidP="00AD4451">
            <w:pPr>
              <w:rPr>
                <w:sz w:val="20"/>
                <w:szCs w:val="20"/>
              </w:rPr>
            </w:pPr>
            <w:r w:rsidRPr="00AD4451">
              <w:rPr>
                <w:sz w:val="20"/>
                <w:szCs w:val="20"/>
              </w:rPr>
              <w:t>-</w:t>
            </w:r>
            <w:r w:rsidRPr="00AD4451">
              <w:rPr>
                <w:sz w:val="20"/>
                <w:szCs w:val="20"/>
              </w:rPr>
              <w:t>This bill would also extend for one year DOH authority to provide LTSS to individuals between 0 and 200 percent of FPL (in Essential Plan 1 and 2).</w:t>
            </w:r>
          </w:p>
          <w:p w14:paraId="59FDBEEA" w14:textId="05C3DBAA" w:rsidR="00242D9A" w:rsidRDefault="00242D9A" w:rsidP="00AD4451">
            <w:pPr>
              <w:rPr>
                <w:sz w:val="20"/>
                <w:szCs w:val="20"/>
              </w:rPr>
            </w:pPr>
            <w:r>
              <w:rPr>
                <w:sz w:val="20"/>
                <w:szCs w:val="20"/>
              </w:rPr>
              <w:t>-o</w:t>
            </w:r>
            <w:r w:rsidRPr="00AD4451">
              <w:rPr>
                <w:sz w:val="20"/>
                <w:szCs w:val="20"/>
              </w:rPr>
              <w:t>nly certain amendments would expire and be repealed if federal approval were withdrawn</w:t>
            </w:r>
            <w:r>
              <w:rPr>
                <w:sz w:val="20"/>
                <w:szCs w:val="20"/>
              </w:rPr>
              <w:t>/</w:t>
            </w:r>
            <w:r w:rsidRPr="00AD4451">
              <w:rPr>
                <w:sz w:val="20"/>
                <w:szCs w:val="20"/>
              </w:rPr>
              <w:t xml:space="preserve"> </w:t>
            </w:r>
            <w:proofErr w:type="spellStart"/>
            <w:r w:rsidRPr="00AD4451">
              <w:rPr>
                <w:sz w:val="20"/>
                <w:szCs w:val="20"/>
              </w:rPr>
              <w:t>a</w:t>
            </w:r>
            <w:r>
              <w:rPr>
                <w:sz w:val="20"/>
                <w:szCs w:val="20"/>
              </w:rPr>
              <w:t>mds</w:t>
            </w:r>
            <w:proofErr w:type="spellEnd"/>
            <w:r w:rsidRPr="00AD4451">
              <w:rPr>
                <w:sz w:val="20"/>
                <w:szCs w:val="20"/>
              </w:rPr>
              <w:t xml:space="preserve"> that expire are those which eliminated the $20 premium for certain Essential Plan enrollees, added dental and vision, and eliminated certain cost-sharing obligations</w:t>
            </w:r>
            <w:r>
              <w:rPr>
                <w:sz w:val="20"/>
                <w:szCs w:val="20"/>
              </w:rPr>
              <w:t xml:space="preserve">. </w:t>
            </w:r>
          </w:p>
          <w:p w14:paraId="322BC86E" w14:textId="63103DAC" w:rsidR="00242D9A" w:rsidRPr="00AD4451" w:rsidRDefault="00242D9A" w:rsidP="00AD4451">
            <w:pPr>
              <w:rPr>
                <w:rFonts w:ascii="Arial" w:eastAsia="Times New Roman" w:hAnsi="Arial" w:cs="Arial"/>
                <w:color w:val="000000"/>
                <w:kern w:val="0"/>
                <w:sz w:val="20"/>
                <w:szCs w:val="20"/>
                <w14:ligatures w14:val="none"/>
              </w:rPr>
            </w:pPr>
            <w:r>
              <w:rPr>
                <w:sz w:val="20"/>
                <w:szCs w:val="20"/>
              </w:rPr>
              <w:t>-</w:t>
            </w:r>
            <w:r w:rsidRPr="00AD4451">
              <w:rPr>
                <w:sz w:val="20"/>
                <w:szCs w:val="20"/>
              </w:rPr>
              <w:t>This bill would add functions to the New York State of Health Marketplace related to the 1332 state innovation program</w:t>
            </w:r>
            <w:r>
              <w:t>.</w:t>
            </w:r>
          </w:p>
        </w:tc>
        <w:tc>
          <w:tcPr>
            <w:tcW w:w="3060" w:type="dxa"/>
          </w:tcPr>
          <w:p w14:paraId="6BCA398C" w14:textId="3EBDC43D" w:rsidR="00242D9A" w:rsidRPr="00103D12" w:rsidRDefault="00242D9A" w:rsidP="00103D12">
            <w:pPr>
              <w:rPr>
                <w:rFonts w:ascii="Arial" w:eastAsia="Times New Roman" w:hAnsi="Arial" w:cs="Arial"/>
                <w:color w:val="000000"/>
                <w:kern w:val="0"/>
                <w:sz w:val="20"/>
                <w:szCs w:val="20"/>
                <w14:ligatures w14:val="none"/>
              </w:rPr>
            </w:pPr>
            <w:r w:rsidRPr="00103D12">
              <w:rPr>
                <w:sz w:val="20"/>
                <w:szCs w:val="20"/>
              </w:rPr>
              <w:t>This bill provide</w:t>
            </w:r>
            <w:r>
              <w:rPr>
                <w:sz w:val="20"/>
                <w:szCs w:val="20"/>
              </w:rPr>
              <w:t>s</w:t>
            </w:r>
            <w:r w:rsidRPr="00103D12">
              <w:rPr>
                <w:sz w:val="20"/>
                <w:szCs w:val="20"/>
              </w:rPr>
              <w:t xml:space="preserve"> subsidies to individuals in the marketplace using federal passthrough funds from the 1332 waiver.</w:t>
            </w:r>
          </w:p>
        </w:tc>
      </w:tr>
      <w:tr w:rsidR="00242D9A" w:rsidRPr="001B463E" w14:paraId="69FA8895" w14:textId="77777777" w:rsidTr="00242D9A">
        <w:trPr>
          <w:trHeight w:val="860"/>
          <w:jc w:val="center"/>
        </w:trPr>
        <w:tc>
          <w:tcPr>
            <w:tcW w:w="1165" w:type="dxa"/>
            <w:shd w:val="clear" w:color="auto" w:fill="auto"/>
            <w:vAlign w:val="center"/>
            <w:hideMark/>
          </w:tcPr>
          <w:p w14:paraId="53FE6EFD"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lastRenderedPageBreak/>
              <w:t>K</w:t>
            </w:r>
          </w:p>
        </w:tc>
        <w:tc>
          <w:tcPr>
            <w:tcW w:w="1440" w:type="dxa"/>
            <w:shd w:val="clear" w:color="auto" w:fill="auto"/>
            <w:vAlign w:val="center"/>
            <w:hideMark/>
          </w:tcPr>
          <w:p w14:paraId="62F4C117" w14:textId="74496803" w:rsidR="00242D9A" w:rsidRPr="001B463E" w:rsidRDefault="00242D9A" w:rsidP="00E730C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Excess Malpractice Reform</w:t>
            </w:r>
          </w:p>
        </w:tc>
        <w:tc>
          <w:tcPr>
            <w:tcW w:w="3600" w:type="dxa"/>
            <w:shd w:val="clear" w:color="auto" w:fill="auto"/>
            <w:vAlign w:val="center"/>
            <w:hideMark/>
          </w:tcPr>
          <w:p w14:paraId="62A07FBF" w14:textId="07472E86" w:rsidR="00242D9A" w:rsidRPr="001B463E" w:rsidRDefault="00242D9A" w:rsidP="00E730C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Extends through 6/30/25 but changes coverage cost sharing;</w:t>
            </w:r>
            <w:r>
              <w:t xml:space="preserve"> </w:t>
            </w:r>
            <w:r w:rsidRPr="00E730C9">
              <w:rPr>
                <w:sz w:val="20"/>
                <w:szCs w:val="20"/>
              </w:rPr>
              <w:t xml:space="preserve">For excess coverage purchased on or after </w:t>
            </w:r>
            <w:r>
              <w:rPr>
                <w:sz w:val="20"/>
                <w:szCs w:val="20"/>
              </w:rPr>
              <w:t>7/1/24</w:t>
            </w:r>
            <w:r w:rsidRPr="00E730C9">
              <w:rPr>
                <w:sz w:val="20"/>
                <w:szCs w:val="20"/>
              </w:rPr>
              <w:t xml:space="preserve"> 2024, a provider of excess coverage or equivalent excess coverage would be required to bill the physician or dentist for an amount equal to 50% of the premium for such coverage during the policy period. At the conclusion of the policy period, funds available in the hospital excess liability pool would be used to pay 25% of the remaining half to the provider of excess insurance coverage or equivalent excess coverage, and the remaining 25% would be paid one year thereafter.</w:t>
            </w:r>
          </w:p>
        </w:tc>
        <w:tc>
          <w:tcPr>
            <w:tcW w:w="3060" w:type="dxa"/>
          </w:tcPr>
          <w:p w14:paraId="5BB87D28" w14:textId="77777777" w:rsidR="00242D9A" w:rsidRPr="00E730C9" w:rsidRDefault="00242D9A" w:rsidP="00E730C9">
            <w:pPr>
              <w:rPr>
                <w:rFonts w:ascii="Arial" w:eastAsia="Times New Roman" w:hAnsi="Arial" w:cs="Arial"/>
                <w:color w:val="000000"/>
                <w:kern w:val="0"/>
                <w:sz w:val="20"/>
                <w:szCs w:val="20"/>
                <w14:ligatures w14:val="none"/>
              </w:rPr>
            </w:pPr>
            <w:r w:rsidRPr="00E730C9">
              <w:rPr>
                <w:rFonts w:ascii="Arial" w:eastAsia="Times New Roman" w:hAnsi="Arial" w:cs="Arial"/>
                <w:color w:val="000000"/>
                <w:kern w:val="0"/>
                <w:sz w:val="20"/>
                <w:szCs w:val="20"/>
                <w14:ligatures w14:val="none"/>
              </w:rPr>
              <w:t>$39.5 million in first year and $19.6m in 2</w:t>
            </w:r>
            <w:r w:rsidRPr="00E730C9">
              <w:rPr>
                <w:rFonts w:ascii="Arial" w:eastAsia="Times New Roman" w:hAnsi="Arial" w:cs="Arial"/>
                <w:color w:val="000000"/>
                <w:kern w:val="0"/>
                <w:sz w:val="20"/>
                <w:szCs w:val="20"/>
                <w:vertAlign w:val="superscript"/>
                <w14:ligatures w14:val="none"/>
              </w:rPr>
              <w:t>nd</w:t>
            </w:r>
            <w:r w:rsidRPr="00E730C9">
              <w:rPr>
                <w:rFonts w:ascii="Arial" w:eastAsia="Times New Roman" w:hAnsi="Arial" w:cs="Arial"/>
                <w:color w:val="000000"/>
                <w:kern w:val="0"/>
                <w:sz w:val="20"/>
                <w:szCs w:val="20"/>
                <w14:ligatures w14:val="none"/>
              </w:rPr>
              <w:t xml:space="preserve"> by restructuring payment over 2 </w:t>
            </w:r>
            <w:proofErr w:type="gramStart"/>
            <w:r w:rsidRPr="00E730C9">
              <w:rPr>
                <w:rFonts w:ascii="Arial" w:eastAsia="Times New Roman" w:hAnsi="Arial" w:cs="Arial"/>
                <w:color w:val="000000"/>
                <w:kern w:val="0"/>
                <w:sz w:val="20"/>
                <w:szCs w:val="20"/>
                <w14:ligatures w14:val="none"/>
              </w:rPr>
              <w:t>SFYs</w:t>
            </w:r>
            <w:proofErr w:type="gramEnd"/>
          </w:p>
          <w:p w14:paraId="756B743B" w14:textId="44251173" w:rsidR="00242D9A" w:rsidRDefault="00242D9A" w:rsidP="00E730C9">
            <w:pPr>
              <w:rPr>
                <w:rFonts w:ascii="Arial" w:eastAsia="Times New Roman" w:hAnsi="Arial" w:cs="Arial"/>
                <w:color w:val="000000"/>
                <w:kern w:val="0"/>
                <w:sz w:val="20"/>
                <w:szCs w:val="20"/>
                <w14:ligatures w14:val="none"/>
              </w:rPr>
            </w:pPr>
            <w:r w:rsidRPr="00E730C9">
              <w:rPr>
                <w:sz w:val="20"/>
                <w:szCs w:val="20"/>
              </w:rPr>
              <w:t>restructure the Physician's Excess Medical payments to insurers from one annual payment to two installments over two fiscal years equivalent to half of the current payment for FY 2024 and changes from one annual payment to two installments over two fiscal years, equivalent to a quarter of the current payment for FY 2025.</w:t>
            </w:r>
          </w:p>
        </w:tc>
      </w:tr>
      <w:tr w:rsidR="00242D9A" w:rsidRPr="001B463E" w14:paraId="7D7277CE" w14:textId="77777777" w:rsidTr="00242D9A">
        <w:trPr>
          <w:trHeight w:val="780"/>
          <w:jc w:val="center"/>
        </w:trPr>
        <w:tc>
          <w:tcPr>
            <w:tcW w:w="1165" w:type="dxa"/>
            <w:shd w:val="clear" w:color="auto" w:fill="auto"/>
            <w:vAlign w:val="center"/>
            <w:hideMark/>
          </w:tcPr>
          <w:p w14:paraId="7C937C06" w14:textId="77777777" w:rsidR="00242D9A" w:rsidRPr="001B463E" w:rsidRDefault="00242D9A" w:rsidP="00E20C1B">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M</w:t>
            </w:r>
          </w:p>
        </w:tc>
        <w:tc>
          <w:tcPr>
            <w:tcW w:w="1440" w:type="dxa"/>
            <w:shd w:val="clear" w:color="auto" w:fill="auto"/>
            <w:vAlign w:val="center"/>
            <w:hideMark/>
          </w:tcPr>
          <w:p w14:paraId="4109F082" w14:textId="130D0A44"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Apply for Continuous Coverage 0-6</w:t>
            </w:r>
          </w:p>
        </w:tc>
        <w:tc>
          <w:tcPr>
            <w:tcW w:w="3600" w:type="dxa"/>
            <w:shd w:val="clear" w:color="auto" w:fill="auto"/>
            <w:vAlign w:val="center"/>
          </w:tcPr>
          <w:p w14:paraId="355C8EA8" w14:textId="3964BB93" w:rsidR="00242D9A" w:rsidRPr="00E730C9" w:rsidRDefault="00242D9A" w:rsidP="00E730C9">
            <w:pPr>
              <w:rPr>
                <w:rFonts w:ascii="Arial" w:eastAsia="Times New Roman" w:hAnsi="Arial" w:cs="Arial"/>
                <w:color w:val="000000"/>
                <w:kern w:val="0"/>
                <w:sz w:val="20"/>
                <w:szCs w:val="20"/>
                <w14:ligatures w14:val="none"/>
              </w:rPr>
            </w:pPr>
            <w:r w:rsidRPr="00E730C9">
              <w:rPr>
                <w:sz w:val="20"/>
                <w:szCs w:val="20"/>
              </w:rPr>
              <w:t>This policy would allow children to remain enrolled in these programs without the requirement that they have their eligibility redetermined on an annual basis</w:t>
            </w:r>
          </w:p>
        </w:tc>
        <w:tc>
          <w:tcPr>
            <w:tcW w:w="3060" w:type="dxa"/>
          </w:tcPr>
          <w:p w14:paraId="4042E1EF" w14:textId="516C4737"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Effective date 1/2025</w:t>
            </w:r>
          </w:p>
        </w:tc>
      </w:tr>
      <w:tr w:rsidR="00242D9A" w:rsidRPr="001B463E" w14:paraId="16D0704F" w14:textId="77777777" w:rsidTr="00242D9A">
        <w:trPr>
          <w:trHeight w:val="900"/>
          <w:jc w:val="center"/>
        </w:trPr>
        <w:tc>
          <w:tcPr>
            <w:tcW w:w="1165" w:type="dxa"/>
            <w:shd w:val="clear" w:color="auto" w:fill="auto"/>
            <w:vAlign w:val="center"/>
            <w:hideMark/>
          </w:tcPr>
          <w:p w14:paraId="2B6B15C5" w14:textId="7F9EFBF8"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w:t>
            </w:r>
          </w:p>
        </w:tc>
        <w:tc>
          <w:tcPr>
            <w:tcW w:w="1440" w:type="dxa"/>
            <w:shd w:val="clear" w:color="auto" w:fill="auto"/>
            <w:vAlign w:val="center"/>
            <w:hideMark/>
          </w:tcPr>
          <w:p w14:paraId="462EEAD3" w14:textId="665523D0"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Scope of Practice extenders</w:t>
            </w:r>
          </w:p>
        </w:tc>
        <w:tc>
          <w:tcPr>
            <w:tcW w:w="3600" w:type="dxa"/>
            <w:shd w:val="clear" w:color="auto" w:fill="auto"/>
            <w:vAlign w:val="center"/>
            <w:hideMark/>
          </w:tcPr>
          <w:p w14:paraId="25C8F29D" w14:textId="797ACBF8" w:rsidR="00242D9A" w:rsidRPr="00AE79B1" w:rsidRDefault="00242D9A" w:rsidP="00AE79B1">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w:t>
            </w:r>
            <w:r w:rsidRPr="00AE79B1">
              <w:rPr>
                <w:rFonts w:ascii="Arial" w:eastAsia="Times New Roman" w:hAnsi="Arial" w:cs="Arial"/>
                <w:color w:val="000000"/>
                <w:kern w:val="0"/>
                <w:sz w:val="20"/>
                <w:szCs w:val="20"/>
                <w14:ligatures w14:val="none"/>
              </w:rPr>
              <w:t>NP Modernization Act thru 4/1/26</w:t>
            </w:r>
          </w:p>
          <w:p w14:paraId="55706D91" w14:textId="77777777" w:rsidR="00242D9A" w:rsidRDefault="00242D9A" w:rsidP="00AE79B1">
            <w:pPr>
              <w:rPr>
                <w:sz w:val="20"/>
                <w:szCs w:val="20"/>
              </w:rPr>
            </w:pPr>
            <w:r>
              <w:rPr>
                <w:sz w:val="20"/>
                <w:szCs w:val="20"/>
              </w:rPr>
              <w:t>-</w:t>
            </w:r>
            <w:r w:rsidRPr="00AE79B1">
              <w:rPr>
                <w:sz w:val="20"/>
                <w:szCs w:val="20"/>
              </w:rPr>
              <w:t>authorization for pharmacists to direct limited-service laboratories and order and administer COVID-19 and influenza tests permanently</w:t>
            </w:r>
            <w:r>
              <w:rPr>
                <w:sz w:val="20"/>
                <w:szCs w:val="20"/>
              </w:rPr>
              <w:t xml:space="preserve"> and makes permanent CDTM</w:t>
            </w:r>
          </w:p>
          <w:p w14:paraId="10F38CB4" w14:textId="42BD9C27" w:rsidR="00242D9A" w:rsidRPr="001B463E" w:rsidRDefault="00242D9A" w:rsidP="00AE79B1">
            <w:pPr>
              <w:rPr>
                <w:rFonts w:ascii="Arial" w:eastAsia="Times New Roman" w:hAnsi="Arial" w:cs="Arial"/>
                <w:color w:val="000000"/>
                <w:kern w:val="0"/>
                <w:sz w:val="20"/>
                <w:szCs w:val="20"/>
                <w14:ligatures w14:val="none"/>
              </w:rPr>
            </w:pPr>
            <w:r>
              <w:rPr>
                <w:sz w:val="20"/>
                <w:szCs w:val="20"/>
              </w:rPr>
              <w:t>-</w:t>
            </w:r>
            <w:r>
              <w:t xml:space="preserve"> </w:t>
            </w:r>
            <w:r w:rsidRPr="00AE79B1">
              <w:rPr>
                <w:sz w:val="20"/>
                <w:szCs w:val="20"/>
              </w:rPr>
              <w:t>authorization for physicians and certified nurse practitioners to order non-patient specific regimen to registered professional nurses for tests to determine the presence of COVID-19 or its antibodies or influenza virus.</w:t>
            </w:r>
          </w:p>
        </w:tc>
        <w:tc>
          <w:tcPr>
            <w:tcW w:w="3060" w:type="dxa"/>
          </w:tcPr>
          <w:p w14:paraId="669BEE5A" w14:textId="77777777" w:rsidR="00242D9A" w:rsidRPr="00E20C1B" w:rsidRDefault="00242D9A" w:rsidP="00E20C1B">
            <w:pPr>
              <w:jc w:val="center"/>
              <w:rPr>
                <w:rFonts w:ascii="Arial" w:eastAsia="Calibri Light" w:hAnsi="Arial" w:cs="Arial"/>
                <w:color w:val="000000" w:themeColor="text1"/>
                <w:sz w:val="20"/>
                <w:szCs w:val="20"/>
              </w:rPr>
            </w:pPr>
          </w:p>
        </w:tc>
      </w:tr>
      <w:tr w:rsidR="00242D9A" w:rsidRPr="001B463E" w14:paraId="6F79E538" w14:textId="77777777" w:rsidTr="00242D9A">
        <w:trPr>
          <w:trHeight w:val="1040"/>
          <w:jc w:val="center"/>
        </w:trPr>
        <w:tc>
          <w:tcPr>
            <w:tcW w:w="1165" w:type="dxa"/>
            <w:shd w:val="clear" w:color="auto" w:fill="auto"/>
            <w:vAlign w:val="center"/>
            <w:hideMark/>
          </w:tcPr>
          <w:p w14:paraId="0B2B892F" w14:textId="13A41685"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Q</w:t>
            </w:r>
          </w:p>
        </w:tc>
        <w:tc>
          <w:tcPr>
            <w:tcW w:w="1440" w:type="dxa"/>
            <w:shd w:val="clear" w:color="auto" w:fill="auto"/>
            <w:vAlign w:val="center"/>
            <w:hideMark/>
          </w:tcPr>
          <w:p w14:paraId="203A7564" w14:textId="4A2621DA"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Expand Scope of Practice</w:t>
            </w:r>
          </w:p>
        </w:tc>
        <w:tc>
          <w:tcPr>
            <w:tcW w:w="3600" w:type="dxa"/>
            <w:shd w:val="clear" w:color="auto" w:fill="auto"/>
            <w:vAlign w:val="center"/>
            <w:hideMark/>
          </w:tcPr>
          <w:p w14:paraId="41A9077F" w14:textId="77777777" w:rsidR="00242D9A" w:rsidRDefault="00242D9A" w:rsidP="00AE79B1">
            <w:pPr>
              <w:rPr>
                <w:sz w:val="20"/>
                <w:szCs w:val="20"/>
              </w:rPr>
            </w:pPr>
            <w:r>
              <w:rPr>
                <w:rFonts w:ascii="Arial" w:eastAsia="Times New Roman" w:hAnsi="Arial" w:cs="Arial"/>
                <w:color w:val="000000"/>
                <w:kern w:val="0"/>
                <w:sz w:val="20"/>
                <w:szCs w:val="20"/>
                <w14:ligatures w14:val="none"/>
              </w:rPr>
              <w:t>-</w:t>
            </w:r>
            <w:r>
              <w:t xml:space="preserve"> </w:t>
            </w:r>
            <w:r w:rsidRPr="00AE79B1">
              <w:rPr>
                <w:sz w:val="20"/>
                <w:szCs w:val="20"/>
              </w:rPr>
              <w:t>allow qualifying physician assistants to independently practice in primary care and hospitals</w:t>
            </w:r>
          </w:p>
          <w:p w14:paraId="6F0DBD9D" w14:textId="77777777" w:rsidR="00242D9A" w:rsidRDefault="00242D9A" w:rsidP="00AE79B1">
            <w:pPr>
              <w:rPr>
                <w:sz w:val="20"/>
                <w:szCs w:val="20"/>
              </w:rPr>
            </w:pPr>
            <w:r>
              <w:rPr>
                <w:sz w:val="20"/>
                <w:szCs w:val="20"/>
              </w:rPr>
              <w:t>-</w:t>
            </w:r>
            <w:r>
              <w:t xml:space="preserve"> </w:t>
            </w:r>
            <w:r w:rsidRPr="00AE79B1">
              <w:rPr>
                <w:sz w:val="20"/>
                <w:szCs w:val="20"/>
              </w:rPr>
              <w:t>in residential health care facilities certified nurse aides could become certified medication aides able to administer routine medications</w:t>
            </w:r>
          </w:p>
          <w:p w14:paraId="7660EE9B" w14:textId="77777777" w:rsidR="00242D9A" w:rsidRDefault="00242D9A" w:rsidP="00AE79B1">
            <w:pPr>
              <w:rPr>
                <w:sz w:val="20"/>
                <w:szCs w:val="20"/>
              </w:rPr>
            </w:pPr>
            <w:r>
              <w:rPr>
                <w:sz w:val="20"/>
                <w:szCs w:val="20"/>
              </w:rPr>
              <w:t>-</w:t>
            </w:r>
            <w:r>
              <w:t xml:space="preserve"> </w:t>
            </w:r>
            <w:r w:rsidRPr="00AE79B1">
              <w:rPr>
                <w:sz w:val="20"/>
                <w:szCs w:val="20"/>
              </w:rPr>
              <w:t xml:space="preserve">In outpatient settings, licensed physicians, nurse practitioners, and physician assistants could assign and </w:t>
            </w:r>
            <w:r w:rsidRPr="00AE79B1">
              <w:rPr>
                <w:sz w:val="20"/>
                <w:szCs w:val="20"/>
              </w:rPr>
              <w:lastRenderedPageBreak/>
              <w:t>supervise medical assistants’ tasks related to immunizations</w:t>
            </w:r>
          </w:p>
          <w:p w14:paraId="7DB64255" w14:textId="34058545" w:rsidR="00242D9A" w:rsidRPr="001B463E" w:rsidRDefault="00242D9A" w:rsidP="00AE79B1">
            <w:pPr>
              <w:rPr>
                <w:rFonts w:ascii="Arial" w:eastAsia="Times New Roman" w:hAnsi="Arial" w:cs="Arial"/>
                <w:color w:val="000000"/>
                <w:kern w:val="0"/>
                <w:sz w:val="20"/>
                <w:szCs w:val="20"/>
                <w14:ligatures w14:val="none"/>
              </w:rPr>
            </w:pPr>
            <w:r>
              <w:rPr>
                <w:sz w:val="20"/>
                <w:szCs w:val="20"/>
              </w:rPr>
              <w:t>-</w:t>
            </w:r>
            <w:r>
              <w:t xml:space="preserve"> </w:t>
            </w:r>
            <w:r w:rsidRPr="00AE79B1">
              <w:rPr>
                <w:sz w:val="20"/>
                <w:szCs w:val="20"/>
              </w:rPr>
              <w:t>dental hygienists would be allowed to handle additional procedures currently within the exclusive scope of dentists</w:t>
            </w:r>
          </w:p>
        </w:tc>
        <w:tc>
          <w:tcPr>
            <w:tcW w:w="3060" w:type="dxa"/>
          </w:tcPr>
          <w:p w14:paraId="228E1C69" w14:textId="65191F00" w:rsidR="00242D9A" w:rsidRPr="00E20C1B" w:rsidRDefault="00242D9A" w:rsidP="00E20C1B">
            <w:pPr>
              <w:jc w:val="center"/>
              <w:rPr>
                <w:rFonts w:ascii="Arial" w:eastAsia="Calibri Light" w:hAnsi="Arial" w:cs="Arial"/>
                <w:color w:val="000000" w:themeColor="text1"/>
                <w:sz w:val="20"/>
                <w:szCs w:val="21"/>
              </w:rPr>
            </w:pPr>
            <w:r>
              <w:rPr>
                <w:rFonts w:ascii="Arial" w:eastAsia="Calibri Light" w:hAnsi="Arial" w:cs="Arial"/>
                <w:color w:val="000000" w:themeColor="text1"/>
                <w:sz w:val="20"/>
                <w:szCs w:val="21"/>
              </w:rPr>
              <w:lastRenderedPageBreak/>
              <w:t>Some effective immediately some in 1 year</w:t>
            </w:r>
          </w:p>
        </w:tc>
      </w:tr>
      <w:tr w:rsidR="00242D9A" w:rsidRPr="001B463E" w14:paraId="39BDBFC5" w14:textId="77777777" w:rsidTr="00242D9A">
        <w:trPr>
          <w:trHeight w:val="860"/>
          <w:jc w:val="center"/>
        </w:trPr>
        <w:tc>
          <w:tcPr>
            <w:tcW w:w="1165" w:type="dxa"/>
            <w:shd w:val="clear" w:color="auto" w:fill="auto"/>
            <w:vAlign w:val="center"/>
            <w:hideMark/>
          </w:tcPr>
          <w:p w14:paraId="325B93D3" w14:textId="669B7F67"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w:t>
            </w:r>
          </w:p>
        </w:tc>
        <w:tc>
          <w:tcPr>
            <w:tcW w:w="1440" w:type="dxa"/>
            <w:shd w:val="clear" w:color="auto" w:fill="auto"/>
            <w:vAlign w:val="center"/>
            <w:hideMark/>
          </w:tcPr>
          <w:p w14:paraId="7E42D081" w14:textId="18C2EAFE"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Interstate compacts</w:t>
            </w:r>
          </w:p>
        </w:tc>
        <w:tc>
          <w:tcPr>
            <w:tcW w:w="3600" w:type="dxa"/>
            <w:shd w:val="clear" w:color="auto" w:fill="auto"/>
            <w:vAlign w:val="center"/>
            <w:hideMark/>
          </w:tcPr>
          <w:p w14:paraId="6445D04F" w14:textId="6261438D" w:rsidR="00242D9A" w:rsidRPr="00465BCB" w:rsidRDefault="00242D9A" w:rsidP="00465BCB">
            <w:pPr>
              <w:rPr>
                <w:rFonts w:ascii="Arial" w:eastAsia="Times New Roman" w:hAnsi="Arial" w:cs="Arial"/>
                <w:color w:val="000000"/>
                <w:kern w:val="0"/>
                <w:sz w:val="20"/>
                <w:szCs w:val="20"/>
                <w14:ligatures w14:val="none"/>
              </w:rPr>
            </w:pPr>
            <w:r w:rsidRPr="00465BCB">
              <w:rPr>
                <w:sz w:val="20"/>
                <w:szCs w:val="20"/>
              </w:rPr>
              <w:t xml:space="preserve">amend the Education Law to allow New York State to </w:t>
            </w:r>
            <w:proofErr w:type="gramStart"/>
            <w:r w:rsidRPr="00465BCB">
              <w:rPr>
                <w:sz w:val="20"/>
                <w:szCs w:val="20"/>
              </w:rPr>
              <w:t>enter into</w:t>
            </w:r>
            <w:proofErr w:type="gramEnd"/>
            <w:r w:rsidRPr="00465BCB">
              <w:rPr>
                <w:sz w:val="20"/>
                <w:szCs w:val="20"/>
              </w:rPr>
              <w:t xml:space="preserve"> two separate interstate licensure compacts for medical professionals: the Interstate Medical Compact for licensed physicians and the Interstate Nurse Licensure Compact for registered nurses (RNs) and licensed practical nurses (LPNs).</w:t>
            </w:r>
          </w:p>
        </w:tc>
        <w:tc>
          <w:tcPr>
            <w:tcW w:w="3060" w:type="dxa"/>
          </w:tcPr>
          <w:p w14:paraId="20BC6BB3" w14:textId="4D6440CD" w:rsidR="00242D9A" w:rsidRPr="0093216F" w:rsidRDefault="00242D9A" w:rsidP="00465BCB">
            <w:pPr>
              <w:rPr>
                <w:rFonts w:ascii="Arial" w:eastAsia="Times New Roman" w:hAnsi="Arial" w:cs="Arial"/>
                <w:color w:val="000000"/>
                <w:kern w:val="0"/>
                <w:sz w:val="20"/>
                <w:szCs w:val="20"/>
                <w14:ligatures w14:val="none"/>
              </w:rPr>
            </w:pPr>
            <w:r>
              <w:t>to make New York more attractive for physicians, RNs, and LPNs</w:t>
            </w:r>
          </w:p>
        </w:tc>
      </w:tr>
      <w:tr w:rsidR="00242D9A" w:rsidRPr="001B463E" w14:paraId="2DBE9717" w14:textId="77777777" w:rsidTr="00242D9A">
        <w:trPr>
          <w:trHeight w:val="880"/>
          <w:jc w:val="center"/>
        </w:trPr>
        <w:tc>
          <w:tcPr>
            <w:tcW w:w="1165" w:type="dxa"/>
            <w:shd w:val="clear" w:color="auto" w:fill="auto"/>
            <w:vAlign w:val="center"/>
            <w:hideMark/>
          </w:tcPr>
          <w:p w14:paraId="3F72CB66" w14:textId="7880B961" w:rsidR="00242D9A" w:rsidRPr="001B463E" w:rsidRDefault="00242D9A" w:rsidP="00465BC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w:t>
            </w:r>
          </w:p>
        </w:tc>
        <w:tc>
          <w:tcPr>
            <w:tcW w:w="1440" w:type="dxa"/>
            <w:shd w:val="clear" w:color="auto" w:fill="auto"/>
            <w:vAlign w:val="center"/>
            <w:hideMark/>
          </w:tcPr>
          <w:p w14:paraId="31F1D1EF" w14:textId="198B8F96"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Healthcare Safety Net </w:t>
            </w:r>
            <w:proofErr w:type="spellStart"/>
            <w:r>
              <w:rPr>
                <w:rFonts w:ascii="Arial" w:eastAsia="Times New Roman" w:hAnsi="Arial" w:cs="Arial"/>
                <w:color w:val="000000"/>
                <w:kern w:val="0"/>
                <w:sz w:val="20"/>
                <w:szCs w:val="20"/>
                <w14:ligatures w14:val="none"/>
              </w:rPr>
              <w:t>Transfrmtn</w:t>
            </w:r>
            <w:proofErr w:type="spellEnd"/>
            <w:r>
              <w:rPr>
                <w:rFonts w:ascii="Arial" w:eastAsia="Times New Roman" w:hAnsi="Arial" w:cs="Arial"/>
                <w:color w:val="000000"/>
                <w:kern w:val="0"/>
                <w:sz w:val="20"/>
                <w:szCs w:val="20"/>
                <w14:ligatures w14:val="none"/>
              </w:rPr>
              <w:t xml:space="preserve"> Program</w:t>
            </w:r>
          </w:p>
        </w:tc>
        <w:tc>
          <w:tcPr>
            <w:tcW w:w="3600" w:type="dxa"/>
            <w:shd w:val="clear" w:color="auto" w:fill="auto"/>
            <w:vAlign w:val="center"/>
            <w:hideMark/>
          </w:tcPr>
          <w:p w14:paraId="250F9B69" w14:textId="707E2941" w:rsidR="00242D9A" w:rsidRPr="00465BCB" w:rsidRDefault="00242D9A" w:rsidP="00465BCB">
            <w:pPr>
              <w:rPr>
                <w:rFonts w:ascii="Arial" w:eastAsia="Times New Roman" w:hAnsi="Arial" w:cs="Arial"/>
                <w:color w:val="000000"/>
                <w:kern w:val="0"/>
                <w:sz w:val="20"/>
                <w:szCs w:val="20"/>
                <w14:ligatures w14:val="none"/>
              </w:rPr>
            </w:pPr>
            <w:r w:rsidRPr="00465BCB">
              <w:rPr>
                <w:sz w:val="20"/>
                <w:szCs w:val="20"/>
              </w:rPr>
              <w:t xml:space="preserve">Safety net hospitals, meeting certain criteria, could apply for </w:t>
            </w:r>
            <w:r>
              <w:rPr>
                <w:sz w:val="20"/>
                <w:szCs w:val="20"/>
              </w:rPr>
              <w:t xml:space="preserve">5 </w:t>
            </w:r>
            <w:proofErr w:type="spellStart"/>
            <w:r>
              <w:rPr>
                <w:sz w:val="20"/>
                <w:szCs w:val="20"/>
              </w:rPr>
              <w:t>yr</w:t>
            </w:r>
            <w:proofErr w:type="spellEnd"/>
            <w:r>
              <w:rPr>
                <w:sz w:val="20"/>
                <w:szCs w:val="20"/>
              </w:rPr>
              <w:t xml:space="preserve"> </w:t>
            </w:r>
            <w:r w:rsidRPr="00465BCB">
              <w:rPr>
                <w:sz w:val="20"/>
                <w:szCs w:val="20"/>
              </w:rPr>
              <w:t>funding</w:t>
            </w:r>
            <w:r>
              <w:rPr>
                <w:sz w:val="20"/>
                <w:szCs w:val="20"/>
              </w:rPr>
              <w:t xml:space="preserve"> of a plan</w:t>
            </w:r>
            <w:r w:rsidRPr="00465BCB">
              <w:rPr>
                <w:sz w:val="20"/>
                <w:szCs w:val="20"/>
              </w:rPr>
              <w:t>, either individually or with partner organizations such as health systems, hospitals, or community-based entities. The Commissioner could enter agreements for fund distribution and could waive certain regulatory requirements for effective project implementation, excluding those related to patient safety and rights</w:t>
            </w:r>
          </w:p>
        </w:tc>
        <w:tc>
          <w:tcPr>
            <w:tcW w:w="3060" w:type="dxa"/>
          </w:tcPr>
          <w:p w14:paraId="7B2C2D93" w14:textId="7287A83B" w:rsidR="00242D9A" w:rsidRPr="0093216F"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Effective 4/1/24 – considered in full force and effect</w:t>
            </w:r>
          </w:p>
        </w:tc>
      </w:tr>
      <w:tr w:rsidR="00242D9A" w:rsidRPr="001B463E" w14:paraId="026EA2B8" w14:textId="77777777" w:rsidTr="00242D9A">
        <w:trPr>
          <w:trHeight w:val="2870"/>
          <w:jc w:val="center"/>
        </w:trPr>
        <w:tc>
          <w:tcPr>
            <w:tcW w:w="1165" w:type="dxa"/>
            <w:shd w:val="clear" w:color="auto" w:fill="auto"/>
            <w:vAlign w:val="center"/>
            <w:hideMark/>
          </w:tcPr>
          <w:p w14:paraId="4384D942" w14:textId="1A1C3250" w:rsidR="00242D9A" w:rsidRPr="001B463E" w:rsidRDefault="00242D9A" w:rsidP="00465BC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U</w:t>
            </w:r>
          </w:p>
        </w:tc>
        <w:tc>
          <w:tcPr>
            <w:tcW w:w="1440" w:type="dxa"/>
            <w:shd w:val="clear" w:color="auto" w:fill="auto"/>
            <w:vAlign w:val="center"/>
            <w:hideMark/>
          </w:tcPr>
          <w:p w14:paraId="5A8F876D" w14:textId="7301BE2C" w:rsidR="00242D9A" w:rsidRPr="001B463E" w:rsidRDefault="00242D9A" w:rsidP="00E20C1B">
            <w:pPr>
              <w:jc w:val="center"/>
              <w:rPr>
                <w:rFonts w:ascii="Arial" w:eastAsia="Times New Roman" w:hAnsi="Arial" w:cs="Arial"/>
                <w:color w:val="000000"/>
                <w:kern w:val="0"/>
                <w:sz w:val="20"/>
                <w:szCs w:val="20"/>
                <w14:ligatures w14:val="none"/>
              </w:rPr>
            </w:pPr>
            <w:r>
              <w:t>Opioids and Overdose Prevention</w:t>
            </w:r>
          </w:p>
        </w:tc>
        <w:tc>
          <w:tcPr>
            <w:tcW w:w="3600" w:type="dxa"/>
            <w:shd w:val="clear" w:color="auto" w:fill="auto"/>
            <w:vAlign w:val="center"/>
            <w:hideMark/>
          </w:tcPr>
          <w:p w14:paraId="18372DFA" w14:textId="77777777" w:rsidR="00242D9A" w:rsidRDefault="00242D9A" w:rsidP="00465BCB">
            <w:pPr>
              <w:rPr>
                <w:sz w:val="20"/>
                <w:szCs w:val="20"/>
              </w:rPr>
            </w:pPr>
            <w:r>
              <w:rPr>
                <w:rFonts w:ascii="Arial" w:eastAsia="Times New Roman" w:hAnsi="Arial" w:cs="Arial"/>
                <w:color w:val="000000"/>
                <w:kern w:val="0"/>
                <w:sz w:val="20"/>
                <w:szCs w:val="20"/>
                <w14:ligatures w14:val="none"/>
              </w:rPr>
              <w:t>-</w:t>
            </w:r>
            <w:r>
              <w:t xml:space="preserve"> </w:t>
            </w:r>
            <w:r w:rsidRPr="00465BCB">
              <w:rPr>
                <w:sz w:val="20"/>
                <w:szCs w:val="20"/>
              </w:rPr>
              <w:t xml:space="preserve">increase Prescription Monitoring Program (PMP) data retention periods </w:t>
            </w:r>
            <w:r w:rsidRPr="00465BCB">
              <w:rPr>
                <w:sz w:val="20"/>
                <w:szCs w:val="20"/>
              </w:rPr>
              <w:t xml:space="preserve">from 5 to 10 years </w:t>
            </w:r>
            <w:r w:rsidRPr="00465BCB">
              <w:rPr>
                <w:sz w:val="20"/>
                <w:szCs w:val="20"/>
              </w:rPr>
              <w:t>and allow enhanced data sharing to combat the opioid crisis</w:t>
            </w:r>
          </w:p>
          <w:p w14:paraId="79DD13C0" w14:textId="77777777" w:rsidR="00242D9A" w:rsidRDefault="00242D9A" w:rsidP="00465BCB">
            <w:pPr>
              <w:rPr>
                <w:sz w:val="20"/>
                <w:szCs w:val="20"/>
              </w:rPr>
            </w:pPr>
            <w:r>
              <w:rPr>
                <w:sz w:val="20"/>
                <w:szCs w:val="20"/>
              </w:rPr>
              <w:t>-</w:t>
            </w:r>
            <w:r>
              <w:t xml:space="preserve"> </w:t>
            </w:r>
            <w:r w:rsidRPr="00465BCB">
              <w:rPr>
                <w:sz w:val="20"/>
                <w:szCs w:val="20"/>
              </w:rPr>
              <w:t>statutory changes necessary to update the State schedule of controlled substances</w:t>
            </w:r>
            <w:r>
              <w:rPr>
                <w:sz w:val="20"/>
                <w:szCs w:val="20"/>
              </w:rPr>
              <w:t xml:space="preserve"> to align with DEA</w:t>
            </w:r>
          </w:p>
          <w:p w14:paraId="4F4B4141" w14:textId="5247FC0A" w:rsidR="00242D9A" w:rsidRPr="001B463E" w:rsidRDefault="00242D9A" w:rsidP="00465BCB">
            <w:pPr>
              <w:rPr>
                <w:rFonts w:ascii="Arial" w:eastAsia="Times New Roman" w:hAnsi="Arial" w:cs="Arial"/>
                <w:color w:val="000000"/>
                <w:kern w:val="0"/>
                <w:sz w:val="20"/>
                <w:szCs w:val="20"/>
                <w14:ligatures w14:val="none"/>
              </w:rPr>
            </w:pPr>
            <w:r>
              <w:rPr>
                <w:sz w:val="20"/>
                <w:szCs w:val="20"/>
              </w:rPr>
              <w:t>-</w:t>
            </w:r>
            <w:r>
              <w:t xml:space="preserve"> </w:t>
            </w:r>
            <w:r w:rsidRPr="000717AF">
              <w:rPr>
                <w:sz w:val="20"/>
                <w:szCs w:val="20"/>
              </w:rPr>
              <w:t>align State law with recently revised DEA regulations that permit providers to distribute up to a three-day supply of narcotic drugs for the purpose of initiating maintenance or detoxification treatment while arrangements are being made for a referral</w:t>
            </w:r>
          </w:p>
        </w:tc>
        <w:tc>
          <w:tcPr>
            <w:tcW w:w="3060" w:type="dxa"/>
          </w:tcPr>
          <w:p w14:paraId="37ED0619" w14:textId="77777777" w:rsidR="00242D9A" w:rsidRDefault="00242D9A" w:rsidP="00E20C1B">
            <w:pPr>
              <w:jc w:val="center"/>
            </w:pPr>
            <w:r>
              <w:t>to enhance public health monitoring and substance use disorder management.</w:t>
            </w:r>
          </w:p>
          <w:p w14:paraId="0E31FEAF" w14:textId="4BC6A955" w:rsidR="00242D9A" w:rsidRDefault="00242D9A" w:rsidP="00E20C1B">
            <w:pPr>
              <w:jc w:val="center"/>
              <w:rPr>
                <w:rFonts w:ascii="Arial" w:eastAsia="Times New Roman" w:hAnsi="Arial" w:cs="Arial"/>
                <w:color w:val="000000"/>
                <w:kern w:val="0"/>
                <w:sz w:val="20"/>
                <w:szCs w:val="20"/>
                <w14:ligatures w14:val="none"/>
              </w:rPr>
            </w:pPr>
            <w:r>
              <w:t>Adds $1.6 m to the state budget</w:t>
            </w:r>
          </w:p>
        </w:tc>
      </w:tr>
      <w:tr w:rsidR="00242D9A" w:rsidRPr="001B463E" w14:paraId="0E8E83B2" w14:textId="77777777" w:rsidTr="00242D9A">
        <w:trPr>
          <w:trHeight w:val="1720"/>
          <w:jc w:val="center"/>
        </w:trPr>
        <w:tc>
          <w:tcPr>
            <w:tcW w:w="1165" w:type="dxa"/>
            <w:shd w:val="clear" w:color="auto" w:fill="auto"/>
            <w:vAlign w:val="center"/>
            <w:hideMark/>
          </w:tcPr>
          <w:p w14:paraId="6965172D" w14:textId="7FDC5A7F"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W</w:t>
            </w:r>
          </w:p>
        </w:tc>
        <w:tc>
          <w:tcPr>
            <w:tcW w:w="1440" w:type="dxa"/>
            <w:shd w:val="clear" w:color="auto" w:fill="auto"/>
            <w:vAlign w:val="center"/>
          </w:tcPr>
          <w:p w14:paraId="66370B3D" w14:textId="028866A6" w:rsidR="00242D9A" w:rsidRPr="001B463E" w:rsidRDefault="00242D9A" w:rsidP="00E20C1B">
            <w:pPr>
              <w:jc w:val="center"/>
              <w:rPr>
                <w:rFonts w:ascii="Arial" w:eastAsia="Times New Roman" w:hAnsi="Arial" w:cs="Arial"/>
                <w:color w:val="000000"/>
                <w:kern w:val="0"/>
                <w:sz w:val="20"/>
                <w:szCs w:val="20"/>
                <w14:ligatures w14:val="none"/>
              </w:rPr>
            </w:pPr>
            <w:r>
              <w:t>Creation of an Interagency Council of Elder Justice</w:t>
            </w:r>
          </w:p>
        </w:tc>
        <w:tc>
          <w:tcPr>
            <w:tcW w:w="3600" w:type="dxa"/>
            <w:shd w:val="clear" w:color="auto" w:fill="auto"/>
            <w:vAlign w:val="center"/>
          </w:tcPr>
          <w:p w14:paraId="68B71799" w14:textId="4FB1EF89" w:rsidR="00242D9A" w:rsidRPr="001B463E" w:rsidRDefault="00242D9A" w:rsidP="009734A2">
            <w:pPr>
              <w:rPr>
                <w:rFonts w:ascii="Arial" w:eastAsia="Times New Roman" w:hAnsi="Arial" w:cs="Arial"/>
                <w:color w:val="000000"/>
                <w:kern w:val="0"/>
                <w:sz w:val="20"/>
                <w:szCs w:val="20"/>
                <w14:ligatures w14:val="none"/>
              </w:rPr>
            </w:pPr>
            <w:r>
              <w:t xml:space="preserve"> establish a council that will develop strategies to defend elders from abuse</w:t>
            </w:r>
          </w:p>
        </w:tc>
        <w:tc>
          <w:tcPr>
            <w:tcW w:w="3060" w:type="dxa"/>
          </w:tcPr>
          <w:p w14:paraId="4D138352" w14:textId="77777777" w:rsidR="00242D9A" w:rsidRPr="0093216F" w:rsidRDefault="00242D9A" w:rsidP="00E20C1B">
            <w:pPr>
              <w:jc w:val="center"/>
              <w:rPr>
                <w:rFonts w:ascii="Arial" w:eastAsia="Times New Roman" w:hAnsi="Arial" w:cs="Arial"/>
                <w:color w:val="000000"/>
                <w:kern w:val="0"/>
                <w:sz w:val="20"/>
                <w:szCs w:val="20"/>
                <w14:ligatures w14:val="none"/>
              </w:rPr>
            </w:pPr>
          </w:p>
        </w:tc>
      </w:tr>
      <w:tr w:rsidR="00242D9A" w:rsidRPr="001B463E" w14:paraId="4CA3370C" w14:textId="77777777" w:rsidTr="00242D9A">
        <w:trPr>
          <w:trHeight w:val="920"/>
          <w:jc w:val="center"/>
        </w:trPr>
        <w:tc>
          <w:tcPr>
            <w:tcW w:w="1165" w:type="dxa"/>
            <w:shd w:val="clear" w:color="auto" w:fill="auto"/>
            <w:noWrap/>
            <w:vAlign w:val="center"/>
            <w:hideMark/>
          </w:tcPr>
          <w:p w14:paraId="0CD6E351" w14:textId="44D62961"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X</w:t>
            </w:r>
          </w:p>
        </w:tc>
        <w:tc>
          <w:tcPr>
            <w:tcW w:w="1440" w:type="dxa"/>
            <w:shd w:val="clear" w:color="auto" w:fill="auto"/>
            <w:vAlign w:val="center"/>
            <w:hideMark/>
          </w:tcPr>
          <w:p w14:paraId="2ADB64FB" w14:textId="6FFB2178" w:rsidR="00242D9A" w:rsidRPr="001B463E" w:rsidRDefault="00242D9A" w:rsidP="00E20C1B">
            <w:pPr>
              <w:jc w:val="center"/>
              <w:rPr>
                <w:rFonts w:ascii="Arial" w:eastAsia="Times New Roman" w:hAnsi="Arial" w:cs="Arial"/>
                <w:color w:val="000000"/>
                <w:kern w:val="0"/>
                <w:sz w:val="20"/>
                <w:szCs w:val="20"/>
                <w14:ligatures w14:val="none"/>
              </w:rPr>
            </w:pPr>
            <w:r>
              <w:t>Make the Opioid Stewardship Fund Permanent</w:t>
            </w:r>
          </w:p>
        </w:tc>
        <w:tc>
          <w:tcPr>
            <w:tcW w:w="3600" w:type="dxa"/>
            <w:shd w:val="clear" w:color="auto" w:fill="auto"/>
            <w:vAlign w:val="center"/>
            <w:hideMark/>
          </w:tcPr>
          <w:p w14:paraId="3DBDC0C2" w14:textId="698EB61D" w:rsidR="00242D9A" w:rsidRPr="001B463E" w:rsidRDefault="00242D9A" w:rsidP="00E20C1B">
            <w:pPr>
              <w:jc w:val="center"/>
              <w:rPr>
                <w:rFonts w:ascii="Arial" w:eastAsia="Times New Roman" w:hAnsi="Arial" w:cs="Arial"/>
                <w:color w:val="000000"/>
                <w:kern w:val="0"/>
                <w:sz w:val="20"/>
                <w:szCs w:val="20"/>
                <w14:ligatures w14:val="none"/>
              </w:rPr>
            </w:pPr>
            <w:r>
              <w:t>The law authorizing the establishment of the Opioid Stewardship Fund is set to expire on June 30, 2024.</w:t>
            </w:r>
          </w:p>
        </w:tc>
        <w:tc>
          <w:tcPr>
            <w:tcW w:w="3060" w:type="dxa"/>
          </w:tcPr>
          <w:p w14:paraId="56B56D57" w14:textId="77777777" w:rsidR="00242D9A" w:rsidRDefault="00242D9A" w:rsidP="00E20C1B">
            <w:pPr>
              <w:jc w:val="center"/>
              <w:rPr>
                <w:rFonts w:ascii="Arial" w:eastAsia="Times New Roman" w:hAnsi="Arial" w:cs="Arial"/>
                <w:color w:val="000000"/>
                <w:kern w:val="0"/>
                <w:sz w:val="20"/>
                <w:szCs w:val="20"/>
                <w14:ligatures w14:val="none"/>
              </w:rPr>
            </w:pPr>
          </w:p>
        </w:tc>
      </w:tr>
      <w:tr w:rsidR="00242D9A" w:rsidRPr="001B463E" w14:paraId="1AC5E82C" w14:textId="77777777" w:rsidTr="00242D9A">
        <w:trPr>
          <w:trHeight w:val="315"/>
          <w:jc w:val="center"/>
        </w:trPr>
        <w:tc>
          <w:tcPr>
            <w:tcW w:w="1165" w:type="dxa"/>
            <w:shd w:val="clear" w:color="auto" w:fill="auto"/>
            <w:noWrap/>
            <w:vAlign w:val="center"/>
            <w:hideMark/>
          </w:tcPr>
          <w:p w14:paraId="2C839A62" w14:textId="50B000A0"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Y</w:t>
            </w:r>
          </w:p>
        </w:tc>
        <w:tc>
          <w:tcPr>
            <w:tcW w:w="1440" w:type="dxa"/>
            <w:shd w:val="clear" w:color="auto" w:fill="auto"/>
            <w:vAlign w:val="center"/>
            <w:hideMark/>
          </w:tcPr>
          <w:p w14:paraId="4FC65EF8" w14:textId="645B6396" w:rsidR="00242D9A" w:rsidRPr="009734A2" w:rsidRDefault="00242D9A" w:rsidP="00E20C1B">
            <w:pPr>
              <w:jc w:val="center"/>
              <w:rPr>
                <w:rFonts w:ascii="Arial" w:eastAsia="Times New Roman" w:hAnsi="Arial" w:cs="Arial"/>
                <w:color w:val="000000"/>
                <w:kern w:val="0"/>
                <w:sz w:val="20"/>
                <w:szCs w:val="20"/>
                <w14:ligatures w14:val="none"/>
              </w:rPr>
            </w:pPr>
            <w:r w:rsidRPr="009734A2">
              <w:rPr>
                <w:sz w:val="20"/>
                <w:szCs w:val="20"/>
              </w:rPr>
              <w:t>Community Mental Health Support and Workforce Reinvestment Program Permanent</w:t>
            </w:r>
          </w:p>
        </w:tc>
        <w:tc>
          <w:tcPr>
            <w:tcW w:w="3600" w:type="dxa"/>
            <w:shd w:val="clear" w:color="auto" w:fill="auto"/>
            <w:vAlign w:val="center"/>
            <w:hideMark/>
          </w:tcPr>
          <w:p w14:paraId="083620DF" w14:textId="2483EA5D" w:rsidR="00242D9A" w:rsidRPr="009734A2" w:rsidRDefault="00242D9A" w:rsidP="00E20C1B">
            <w:pPr>
              <w:jc w:val="center"/>
              <w:rPr>
                <w:rFonts w:ascii="Arial" w:eastAsia="Times New Roman" w:hAnsi="Arial" w:cs="Arial"/>
                <w:color w:val="000000"/>
                <w:kern w:val="0"/>
                <w:sz w:val="20"/>
                <w:szCs w:val="20"/>
                <w14:ligatures w14:val="none"/>
              </w:rPr>
            </w:pPr>
            <w:r w:rsidRPr="009734A2">
              <w:rPr>
                <w:sz w:val="20"/>
                <w:szCs w:val="20"/>
              </w:rPr>
              <w:t xml:space="preserve">requires OMH to continue its practice of reinvesting savings from State Psychiatric Center inpatient bed closures for community mental health services and workforce </w:t>
            </w:r>
          </w:p>
        </w:tc>
        <w:tc>
          <w:tcPr>
            <w:tcW w:w="3060" w:type="dxa"/>
          </w:tcPr>
          <w:p w14:paraId="27AC75D0" w14:textId="77777777" w:rsidR="00242D9A" w:rsidRDefault="00242D9A" w:rsidP="00E20C1B">
            <w:pPr>
              <w:jc w:val="center"/>
              <w:rPr>
                <w:rFonts w:ascii="Arial" w:eastAsia="Times New Roman" w:hAnsi="Arial" w:cs="Arial"/>
                <w:color w:val="000000"/>
                <w:kern w:val="0"/>
                <w:sz w:val="20"/>
                <w:szCs w:val="20"/>
                <w14:ligatures w14:val="none"/>
              </w:rPr>
            </w:pPr>
          </w:p>
        </w:tc>
      </w:tr>
      <w:tr w:rsidR="00242D9A" w:rsidRPr="001B463E" w14:paraId="50F8CCB7" w14:textId="77777777" w:rsidTr="00242D9A">
        <w:trPr>
          <w:trHeight w:val="1020"/>
          <w:jc w:val="center"/>
        </w:trPr>
        <w:tc>
          <w:tcPr>
            <w:tcW w:w="1165" w:type="dxa"/>
            <w:shd w:val="clear" w:color="auto" w:fill="auto"/>
            <w:noWrap/>
            <w:vAlign w:val="center"/>
            <w:hideMark/>
          </w:tcPr>
          <w:p w14:paraId="3568AB97" w14:textId="51A0ED19"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Z</w:t>
            </w:r>
          </w:p>
        </w:tc>
        <w:tc>
          <w:tcPr>
            <w:tcW w:w="1440" w:type="dxa"/>
            <w:shd w:val="clear" w:color="auto" w:fill="auto"/>
            <w:vAlign w:val="center"/>
            <w:hideMark/>
          </w:tcPr>
          <w:p w14:paraId="0B8B7DE6" w14:textId="25B4B705" w:rsidR="00242D9A" w:rsidRPr="009734A2" w:rsidRDefault="00242D9A" w:rsidP="00E20C1B">
            <w:pPr>
              <w:jc w:val="center"/>
              <w:rPr>
                <w:rFonts w:ascii="Arial" w:eastAsia="Times New Roman" w:hAnsi="Arial" w:cs="Arial"/>
                <w:color w:val="000000"/>
                <w:kern w:val="0"/>
                <w:sz w:val="20"/>
                <w:szCs w:val="20"/>
                <w14:ligatures w14:val="none"/>
              </w:rPr>
            </w:pPr>
            <w:r w:rsidRPr="009734A2">
              <w:rPr>
                <w:sz w:val="20"/>
                <w:szCs w:val="20"/>
              </w:rPr>
              <w:t>Make Flexibilities for Demonstration Programs Permanent</w:t>
            </w:r>
          </w:p>
        </w:tc>
        <w:tc>
          <w:tcPr>
            <w:tcW w:w="3600" w:type="dxa"/>
            <w:shd w:val="clear" w:color="auto" w:fill="auto"/>
            <w:vAlign w:val="center"/>
            <w:hideMark/>
          </w:tcPr>
          <w:p w14:paraId="0169A352" w14:textId="3D433ACD" w:rsidR="00242D9A" w:rsidRPr="009734A2" w:rsidRDefault="00242D9A" w:rsidP="00E20C1B">
            <w:pPr>
              <w:jc w:val="center"/>
              <w:rPr>
                <w:rFonts w:ascii="Arial" w:eastAsia="Times New Roman" w:hAnsi="Arial" w:cs="Arial"/>
                <w:color w:val="000000"/>
                <w:kern w:val="0"/>
                <w:sz w:val="20"/>
                <w:szCs w:val="20"/>
                <w14:ligatures w14:val="none"/>
              </w:rPr>
            </w:pPr>
            <w:r w:rsidRPr="009734A2">
              <w:rPr>
                <w:sz w:val="20"/>
                <w:szCs w:val="20"/>
              </w:rPr>
              <w:t>allow the Office of Mental Health, the Office of Addiction Services and Supports, and the Office for People with Developmental Disabilities to utilize flexibilities to develop new methods of services through demonstration projects</w:t>
            </w:r>
          </w:p>
        </w:tc>
        <w:tc>
          <w:tcPr>
            <w:tcW w:w="3060" w:type="dxa"/>
          </w:tcPr>
          <w:p w14:paraId="464AB2F8" w14:textId="77777777" w:rsidR="00242D9A" w:rsidRDefault="00242D9A" w:rsidP="00E20C1B">
            <w:pPr>
              <w:jc w:val="center"/>
              <w:rPr>
                <w:rFonts w:ascii="Arial" w:eastAsia="Times New Roman" w:hAnsi="Arial" w:cs="Arial"/>
                <w:color w:val="000000"/>
                <w:kern w:val="0"/>
                <w:sz w:val="20"/>
                <w:szCs w:val="20"/>
                <w14:ligatures w14:val="none"/>
              </w:rPr>
            </w:pPr>
          </w:p>
        </w:tc>
      </w:tr>
      <w:tr w:rsidR="00242D9A" w:rsidRPr="001B463E" w14:paraId="2EAC733D" w14:textId="77777777" w:rsidTr="00242D9A">
        <w:trPr>
          <w:trHeight w:val="880"/>
          <w:jc w:val="center"/>
        </w:trPr>
        <w:tc>
          <w:tcPr>
            <w:tcW w:w="1165" w:type="dxa"/>
            <w:shd w:val="clear" w:color="auto" w:fill="auto"/>
            <w:noWrap/>
            <w:vAlign w:val="center"/>
            <w:hideMark/>
          </w:tcPr>
          <w:p w14:paraId="73D27A98" w14:textId="3A16D013"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AA</w:t>
            </w:r>
          </w:p>
        </w:tc>
        <w:tc>
          <w:tcPr>
            <w:tcW w:w="1440" w:type="dxa"/>
            <w:shd w:val="clear" w:color="auto" w:fill="auto"/>
            <w:vAlign w:val="center"/>
            <w:hideMark/>
          </w:tcPr>
          <w:p w14:paraId="6CB60B8F" w14:textId="3D7A7DAA" w:rsidR="00242D9A" w:rsidRPr="00104900" w:rsidRDefault="00242D9A" w:rsidP="00E20C1B">
            <w:pPr>
              <w:jc w:val="center"/>
              <w:rPr>
                <w:rFonts w:ascii="Arial" w:eastAsia="Times New Roman" w:hAnsi="Arial" w:cs="Arial"/>
                <w:color w:val="000000"/>
                <w:kern w:val="0"/>
                <w:sz w:val="20"/>
                <w:szCs w:val="20"/>
                <w14:ligatures w14:val="none"/>
              </w:rPr>
            </w:pPr>
            <w:r w:rsidRPr="00104900">
              <w:rPr>
                <w:sz w:val="20"/>
                <w:szCs w:val="20"/>
              </w:rPr>
              <w:t>Require Minimum Commercial Insurance Reimbursement Rates for Behavioral Health Services</w:t>
            </w:r>
          </w:p>
        </w:tc>
        <w:tc>
          <w:tcPr>
            <w:tcW w:w="3600" w:type="dxa"/>
            <w:shd w:val="clear" w:color="auto" w:fill="auto"/>
            <w:vAlign w:val="center"/>
            <w:hideMark/>
          </w:tcPr>
          <w:p w14:paraId="1EE64DFC" w14:textId="6CF3D5F7" w:rsidR="00242D9A" w:rsidRPr="001B463E" w:rsidRDefault="00242D9A" w:rsidP="00104900">
            <w:pPr>
              <w:rPr>
                <w:rFonts w:ascii="Arial" w:eastAsia="Times New Roman" w:hAnsi="Arial" w:cs="Arial"/>
                <w:color w:val="000000"/>
                <w:kern w:val="0"/>
                <w:sz w:val="20"/>
                <w:szCs w:val="20"/>
                <w14:ligatures w14:val="none"/>
              </w:rPr>
            </w:pPr>
            <w:r>
              <w:t>This proposal amends various sections of the Insurance Law to require minimum reimbursement rates to authorized, in-network OMH- and OASAS-licensed mental health and addiction services providers. Reimbursements must be provided for covered services at rates that are no less than the Medicaid rates in effect for such services.</w:t>
            </w:r>
          </w:p>
        </w:tc>
        <w:tc>
          <w:tcPr>
            <w:tcW w:w="3060" w:type="dxa"/>
          </w:tcPr>
          <w:p w14:paraId="7E4176ED" w14:textId="77777777"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 $1m to NYSHIP </w:t>
            </w:r>
            <w:proofErr w:type="gramStart"/>
            <w:r>
              <w:rPr>
                <w:rFonts w:ascii="Arial" w:eastAsia="Times New Roman" w:hAnsi="Arial" w:cs="Arial"/>
                <w:color w:val="000000"/>
                <w:kern w:val="0"/>
                <w:sz w:val="20"/>
                <w:szCs w:val="20"/>
                <w14:ligatures w14:val="none"/>
              </w:rPr>
              <w:t>costs</w:t>
            </w:r>
            <w:proofErr w:type="gramEnd"/>
          </w:p>
          <w:p w14:paraId="0E13ED88" w14:textId="4095D500" w:rsidR="00242D9A"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Effective Jan 1, 2025</w:t>
            </w:r>
          </w:p>
        </w:tc>
      </w:tr>
      <w:tr w:rsidR="00242D9A" w:rsidRPr="001B463E" w14:paraId="5BA19436" w14:textId="77777777" w:rsidTr="00242D9A">
        <w:trPr>
          <w:trHeight w:val="1340"/>
          <w:jc w:val="center"/>
        </w:trPr>
        <w:tc>
          <w:tcPr>
            <w:tcW w:w="1165" w:type="dxa"/>
            <w:shd w:val="clear" w:color="auto" w:fill="auto"/>
            <w:noWrap/>
            <w:vAlign w:val="center"/>
            <w:hideMark/>
          </w:tcPr>
          <w:p w14:paraId="28CDC467" w14:textId="70C7A1E2"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lastRenderedPageBreak/>
              <w:t>BB</w:t>
            </w:r>
          </w:p>
        </w:tc>
        <w:tc>
          <w:tcPr>
            <w:tcW w:w="1440" w:type="dxa"/>
            <w:shd w:val="clear" w:color="auto" w:fill="auto"/>
            <w:vAlign w:val="center"/>
            <w:hideMark/>
          </w:tcPr>
          <w:p w14:paraId="78F463B4" w14:textId="2CE6A503" w:rsidR="00242D9A" w:rsidRPr="001B463E" w:rsidRDefault="00242D9A" w:rsidP="00E20C1B">
            <w:pPr>
              <w:jc w:val="center"/>
              <w:rPr>
                <w:rFonts w:ascii="Arial" w:eastAsia="Times New Roman" w:hAnsi="Arial" w:cs="Arial"/>
                <w:color w:val="000000"/>
                <w:kern w:val="0"/>
                <w:sz w:val="20"/>
                <w:szCs w:val="20"/>
                <w14:ligatures w14:val="none"/>
              </w:rPr>
            </w:pPr>
            <w:r>
              <w:t>Make</w:t>
            </w:r>
            <w:r>
              <w:t xml:space="preserve">s </w:t>
            </w:r>
            <w:proofErr w:type="gramStart"/>
            <w:r>
              <w:t>CPEPs</w:t>
            </w:r>
            <w:r>
              <w:t xml:space="preserve">  Permanent</w:t>
            </w:r>
            <w:proofErr w:type="gramEnd"/>
          </w:p>
        </w:tc>
        <w:tc>
          <w:tcPr>
            <w:tcW w:w="3600" w:type="dxa"/>
            <w:shd w:val="clear" w:color="auto" w:fill="auto"/>
            <w:vAlign w:val="center"/>
          </w:tcPr>
          <w:p w14:paraId="52A1EABF" w14:textId="18E7B3D2"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Set to expire 7/1/24</w:t>
            </w:r>
          </w:p>
        </w:tc>
        <w:tc>
          <w:tcPr>
            <w:tcW w:w="3060" w:type="dxa"/>
          </w:tcPr>
          <w:p w14:paraId="78022F2A" w14:textId="77777777" w:rsidR="00242D9A" w:rsidRDefault="00242D9A" w:rsidP="00E20C1B">
            <w:pPr>
              <w:jc w:val="center"/>
              <w:rPr>
                <w:rFonts w:ascii="Arial" w:eastAsia="Times New Roman" w:hAnsi="Arial" w:cs="Arial"/>
                <w:color w:val="000000"/>
                <w:kern w:val="0"/>
                <w:sz w:val="20"/>
                <w:szCs w:val="20"/>
                <w14:ligatures w14:val="none"/>
              </w:rPr>
            </w:pPr>
          </w:p>
        </w:tc>
      </w:tr>
      <w:tr w:rsidR="00242D9A" w:rsidRPr="001B463E" w14:paraId="0C185387" w14:textId="77777777" w:rsidTr="00242D9A">
        <w:trPr>
          <w:trHeight w:val="1080"/>
          <w:jc w:val="center"/>
        </w:trPr>
        <w:tc>
          <w:tcPr>
            <w:tcW w:w="1165" w:type="dxa"/>
            <w:shd w:val="clear" w:color="auto" w:fill="auto"/>
            <w:noWrap/>
            <w:vAlign w:val="center"/>
            <w:hideMark/>
          </w:tcPr>
          <w:p w14:paraId="60BFC663" w14:textId="77A789DC"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CC</w:t>
            </w:r>
          </w:p>
        </w:tc>
        <w:tc>
          <w:tcPr>
            <w:tcW w:w="1440" w:type="dxa"/>
            <w:shd w:val="clear" w:color="auto" w:fill="auto"/>
            <w:vAlign w:val="center"/>
            <w:hideMark/>
          </w:tcPr>
          <w:p w14:paraId="382ABDF3" w14:textId="55286E8B" w:rsidR="00242D9A" w:rsidRPr="001B463E" w:rsidRDefault="00242D9A" w:rsidP="00E20C1B">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Report to OMIG</w:t>
            </w:r>
          </w:p>
        </w:tc>
        <w:tc>
          <w:tcPr>
            <w:tcW w:w="3600" w:type="dxa"/>
            <w:shd w:val="clear" w:color="auto" w:fill="auto"/>
            <w:vAlign w:val="center"/>
            <w:hideMark/>
          </w:tcPr>
          <w:p w14:paraId="5AC5E207" w14:textId="5BC857FA" w:rsidR="00242D9A" w:rsidRPr="00242D9A" w:rsidRDefault="00242D9A" w:rsidP="00242D9A">
            <w:pPr>
              <w:rPr>
                <w:rFonts w:ascii="Arial" w:eastAsia="Times New Roman" w:hAnsi="Arial" w:cs="Arial"/>
                <w:color w:val="000000"/>
                <w:kern w:val="0"/>
                <w:sz w:val="20"/>
                <w:szCs w:val="20"/>
                <w14:ligatures w14:val="none"/>
              </w:rPr>
            </w:pPr>
            <w:r w:rsidRPr="00242D9A">
              <w:rPr>
                <w:sz w:val="20"/>
                <w:szCs w:val="20"/>
              </w:rPr>
              <w:t>clarify when substantiated reports of abuse or neglect submitted to the Justice Center should be reported to the Office of Medicaid Inspector General</w:t>
            </w:r>
          </w:p>
        </w:tc>
        <w:tc>
          <w:tcPr>
            <w:tcW w:w="3060" w:type="dxa"/>
          </w:tcPr>
          <w:p w14:paraId="340EB93D" w14:textId="41BEE096" w:rsidR="00242D9A" w:rsidRPr="00242D9A" w:rsidRDefault="00242D9A" w:rsidP="00242D9A">
            <w:pPr>
              <w:rPr>
                <w:rFonts w:ascii="Arial" w:eastAsia="Times New Roman" w:hAnsi="Arial" w:cs="Arial"/>
                <w:color w:val="000000"/>
                <w:kern w:val="0"/>
                <w:sz w:val="20"/>
                <w:szCs w:val="20"/>
                <w14:ligatures w14:val="none"/>
              </w:rPr>
            </w:pPr>
            <w:r w:rsidRPr="00242D9A">
              <w:rPr>
                <w:sz w:val="20"/>
                <w:szCs w:val="20"/>
              </w:rPr>
              <w:t>amend the Social Services Law to clarify the Justice Center’s obligation to refer reports of abuse or neglect to OMIG when such reports are no longer subject to amendment or appeal and could be subject to OMIG sanctions</w:t>
            </w:r>
            <w:r>
              <w:rPr>
                <w:sz w:val="20"/>
                <w:szCs w:val="20"/>
              </w:rPr>
              <w:t xml:space="preserve"> to </w:t>
            </w:r>
            <w:r w:rsidRPr="00242D9A">
              <w:rPr>
                <w:sz w:val="20"/>
                <w:szCs w:val="20"/>
              </w:rPr>
              <w:t>ensure effective coordination to facilitate timely investigations and audit recoveries</w:t>
            </w:r>
          </w:p>
        </w:tc>
      </w:tr>
      <w:tr w:rsidR="00242D9A" w:rsidRPr="001B463E" w14:paraId="3979EFE7" w14:textId="77777777" w:rsidTr="00242D9A">
        <w:trPr>
          <w:trHeight w:val="315"/>
          <w:jc w:val="center"/>
        </w:trPr>
        <w:tc>
          <w:tcPr>
            <w:tcW w:w="1165" w:type="dxa"/>
            <w:shd w:val="clear" w:color="auto" w:fill="auto"/>
            <w:vAlign w:val="center"/>
          </w:tcPr>
          <w:p w14:paraId="35ED250E" w14:textId="3CEAA338" w:rsidR="00242D9A" w:rsidRPr="001B463E" w:rsidRDefault="00242D9A" w:rsidP="00306C9A">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FF</w:t>
            </w:r>
          </w:p>
        </w:tc>
        <w:tc>
          <w:tcPr>
            <w:tcW w:w="1440" w:type="dxa"/>
            <w:shd w:val="clear" w:color="auto" w:fill="auto"/>
            <w:vAlign w:val="center"/>
          </w:tcPr>
          <w:p w14:paraId="0228AA00" w14:textId="486A87A7" w:rsidR="00242D9A" w:rsidRPr="001B463E" w:rsidRDefault="00242D9A" w:rsidP="00306C9A">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Human </w:t>
            </w:r>
            <w:proofErr w:type="spellStart"/>
            <w:r>
              <w:rPr>
                <w:rFonts w:ascii="Arial" w:eastAsia="Times New Roman" w:hAnsi="Arial" w:cs="Arial"/>
                <w:color w:val="000000"/>
                <w:kern w:val="0"/>
                <w:sz w:val="20"/>
                <w:szCs w:val="20"/>
                <w14:ligatures w14:val="none"/>
              </w:rPr>
              <w:t>Svcs</w:t>
            </w:r>
            <w:proofErr w:type="spellEnd"/>
            <w:r>
              <w:rPr>
                <w:rFonts w:ascii="Arial" w:eastAsia="Times New Roman" w:hAnsi="Arial" w:cs="Arial"/>
                <w:color w:val="000000"/>
                <w:kern w:val="0"/>
                <w:sz w:val="20"/>
                <w:szCs w:val="20"/>
                <w14:ligatures w14:val="none"/>
              </w:rPr>
              <w:t xml:space="preserve"> COLA</w:t>
            </w:r>
          </w:p>
        </w:tc>
        <w:tc>
          <w:tcPr>
            <w:tcW w:w="3600" w:type="dxa"/>
            <w:shd w:val="clear" w:color="auto" w:fill="auto"/>
            <w:vAlign w:val="center"/>
          </w:tcPr>
          <w:p w14:paraId="6D0E6A4F" w14:textId="4C8C30E1" w:rsidR="00242D9A" w:rsidRDefault="00242D9A" w:rsidP="00306C9A">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1.5% COLA in effect </w:t>
            </w:r>
            <w:r>
              <w:t xml:space="preserve">April 1, </w:t>
            </w:r>
            <w:proofErr w:type="gramStart"/>
            <w:r>
              <w:t>2024</w:t>
            </w:r>
            <w:proofErr w:type="gramEnd"/>
            <w:r>
              <w:t xml:space="preserve"> to March 31, 2025</w:t>
            </w:r>
          </w:p>
        </w:tc>
        <w:tc>
          <w:tcPr>
            <w:tcW w:w="3060" w:type="dxa"/>
          </w:tcPr>
          <w:p w14:paraId="78CE9098" w14:textId="19509F78" w:rsidR="00242D9A" w:rsidRDefault="00242D9A" w:rsidP="00306C9A">
            <w:pPr>
              <w:jc w:val="cente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Costs $128.9 million across all agencies, expires 3/31/25</w:t>
            </w:r>
          </w:p>
        </w:tc>
      </w:tr>
      <w:tr w:rsidR="00242D9A" w:rsidRPr="001B463E" w14:paraId="6047C5A8" w14:textId="77777777" w:rsidTr="00242D9A">
        <w:trPr>
          <w:trHeight w:val="1286"/>
          <w:jc w:val="center"/>
        </w:trPr>
        <w:tc>
          <w:tcPr>
            <w:tcW w:w="1165" w:type="dxa"/>
            <w:shd w:val="clear" w:color="auto" w:fill="auto"/>
            <w:noWrap/>
            <w:vAlign w:val="center"/>
            <w:hideMark/>
          </w:tcPr>
          <w:p w14:paraId="3C14EC1C" w14:textId="77777777" w:rsidR="00242D9A" w:rsidRPr="001B463E" w:rsidRDefault="00242D9A" w:rsidP="00306C9A">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JJ</w:t>
            </w:r>
          </w:p>
        </w:tc>
        <w:tc>
          <w:tcPr>
            <w:tcW w:w="1440" w:type="dxa"/>
            <w:shd w:val="clear" w:color="auto" w:fill="auto"/>
            <w:vAlign w:val="center"/>
            <w:hideMark/>
          </w:tcPr>
          <w:p w14:paraId="09B2BC1A" w14:textId="77777777" w:rsidR="00242D9A" w:rsidRPr="001B463E" w:rsidRDefault="00242D9A" w:rsidP="00306C9A">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Penalties for MH Law Violations</w:t>
            </w:r>
          </w:p>
        </w:tc>
        <w:tc>
          <w:tcPr>
            <w:tcW w:w="3600" w:type="dxa"/>
            <w:shd w:val="clear" w:color="auto" w:fill="auto"/>
            <w:vAlign w:val="center"/>
            <w:hideMark/>
          </w:tcPr>
          <w:p w14:paraId="28E6E154" w14:textId="77777777" w:rsidR="00242D9A" w:rsidRPr="001B463E" w:rsidRDefault="00242D9A" w:rsidP="00306C9A">
            <w:pPr>
              <w:jc w:val="center"/>
              <w:rPr>
                <w:rFonts w:ascii="Arial" w:eastAsia="Times New Roman" w:hAnsi="Arial" w:cs="Arial"/>
                <w:color w:val="000000"/>
                <w:kern w:val="0"/>
                <w:sz w:val="20"/>
                <w:szCs w:val="20"/>
                <w14:ligatures w14:val="none"/>
              </w:rPr>
            </w:pPr>
            <w:r w:rsidRPr="001B463E">
              <w:rPr>
                <w:rFonts w:ascii="Arial" w:eastAsia="Times New Roman" w:hAnsi="Arial" w:cs="Arial"/>
                <w:color w:val="000000"/>
                <w:kern w:val="0"/>
                <w:sz w:val="20"/>
                <w:szCs w:val="20"/>
                <w14:ligatures w14:val="none"/>
              </w:rPr>
              <w:t>Authorizes OMH to sanction Article 28 hospitals for offline in-patient psychiatric beds that are required under their CON to be in-use; revises fee schedule to $2,000 per day per violation and applies on a per-bed basis.</w:t>
            </w:r>
          </w:p>
        </w:tc>
        <w:tc>
          <w:tcPr>
            <w:tcW w:w="3060" w:type="dxa"/>
          </w:tcPr>
          <w:p w14:paraId="70EF2C6E" w14:textId="77777777" w:rsidR="00242D9A" w:rsidRDefault="00242D9A" w:rsidP="00306C9A">
            <w:pPr>
              <w:jc w:val="center"/>
              <w:rPr>
                <w:rFonts w:ascii="Arial" w:eastAsia="Times New Roman" w:hAnsi="Arial" w:cs="Arial"/>
                <w:color w:val="000000"/>
                <w:kern w:val="0"/>
                <w:sz w:val="20"/>
                <w:szCs w:val="20"/>
                <w14:ligatures w14:val="none"/>
              </w:rPr>
            </w:pPr>
          </w:p>
        </w:tc>
      </w:tr>
    </w:tbl>
    <w:p w14:paraId="44C6C6A0" w14:textId="165FB7AE" w:rsidR="001B463E" w:rsidRDefault="001B463E"/>
    <w:sectPr w:rsidR="001B463E" w:rsidSect="003126A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AA0"/>
    <w:multiLevelType w:val="hybridMultilevel"/>
    <w:tmpl w:val="8790433C"/>
    <w:lvl w:ilvl="0" w:tplc="620A76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59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3E"/>
    <w:rsid w:val="00022771"/>
    <w:rsid w:val="000339A4"/>
    <w:rsid w:val="00033CC1"/>
    <w:rsid w:val="0004370E"/>
    <w:rsid w:val="000717AF"/>
    <w:rsid w:val="00085D52"/>
    <w:rsid w:val="000E1CB6"/>
    <w:rsid w:val="00103D12"/>
    <w:rsid w:val="00104900"/>
    <w:rsid w:val="0010793E"/>
    <w:rsid w:val="00111175"/>
    <w:rsid w:val="001B463E"/>
    <w:rsid w:val="00236143"/>
    <w:rsid w:val="00242D9A"/>
    <w:rsid w:val="00306C9A"/>
    <w:rsid w:val="003126AD"/>
    <w:rsid w:val="00413D64"/>
    <w:rsid w:val="004163E8"/>
    <w:rsid w:val="00462C1B"/>
    <w:rsid w:val="00465BCB"/>
    <w:rsid w:val="00472D40"/>
    <w:rsid w:val="00484F22"/>
    <w:rsid w:val="00493E5C"/>
    <w:rsid w:val="004E5DA1"/>
    <w:rsid w:val="00566B04"/>
    <w:rsid w:val="005A3FA1"/>
    <w:rsid w:val="005E35BF"/>
    <w:rsid w:val="006005B2"/>
    <w:rsid w:val="00696FB7"/>
    <w:rsid w:val="007953F0"/>
    <w:rsid w:val="007A247E"/>
    <w:rsid w:val="007B3A0E"/>
    <w:rsid w:val="007C155C"/>
    <w:rsid w:val="007C5003"/>
    <w:rsid w:val="007C702C"/>
    <w:rsid w:val="00874FF5"/>
    <w:rsid w:val="008B2DDA"/>
    <w:rsid w:val="0093216F"/>
    <w:rsid w:val="009544FA"/>
    <w:rsid w:val="00960C1E"/>
    <w:rsid w:val="009734A2"/>
    <w:rsid w:val="00AD4451"/>
    <w:rsid w:val="00AE79B1"/>
    <w:rsid w:val="00B1355C"/>
    <w:rsid w:val="00B31C07"/>
    <w:rsid w:val="00B546A6"/>
    <w:rsid w:val="00C45590"/>
    <w:rsid w:val="00C70272"/>
    <w:rsid w:val="00C721F7"/>
    <w:rsid w:val="00C91C70"/>
    <w:rsid w:val="00CB1F13"/>
    <w:rsid w:val="00D754F7"/>
    <w:rsid w:val="00D968F8"/>
    <w:rsid w:val="00E20C1B"/>
    <w:rsid w:val="00E40A83"/>
    <w:rsid w:val="00E730C9"/>
    <w:rsid w:val="00E92394"/>
    <w:rsid w:val="00EF1137"/>
    <w:rsid w:val="00F46527"/>
    <w:rsid w:val="00FA4A34"/>
    <w:rsid w:val="00FD7D36"/>
    <w:rsid w:val="00FF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2C63"/>
  <w15:chartTrackingRefBased/>
  <w15:docId w15:val="{548E10CD-AE86-F240-ADF2-3E350F37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3208">
      <w:bodyDiv w:val="1"/>
      <w:marLeft w:val="0"/>
      <w:marRight w:val="0"/>
      <w:marTop w:val="0"/>
      <w:marBottom w:val="0"/>
      <w:divBdr>
        <w:top w:val="none" w:sz="0" w:space="0" w:color="auto"/>
        <w:left w:val="none" w:sz="0" w:space="0" w:color="auto"/>
        <w:bottom w:val="none" w:sz="0" w:space="0" w:color="auto"/>
        <w:right w:val="none" w:sz="0" w:space="0" w:color="auto"/>
      </w:divBdr>
    </w:div>
    <w:div w:id="638926809">
      <w:bodyDiv w:val="1"/>
      <w:marLeft w:val="0"/>
      <w:marRight w:val="0"/>
      <w:marTop w:val="0"/>
      <w:marBottom w:val="0"/>
      <w:divBdr>
        <w:top w:val="none" w:sz="0" w:space="0" w:color="auto"/>
        <w:left w:val="none" w:sz="0" w:space="0" w:color="auto"/>
        <w:bottom w:val="none" w:sz="0" w:space="0" w:color="auto"/>
        <w:right w:val="none" w:sz="0" w:space="0" w:color="auto"/>
      </w:divBdr>
    </w:div>
    <w:div w:id="693116162">
      <w:bodyDiv w:val="1"/>
      <w:marLeft w:val="0"/>
      <w:marRight w:val="0"/>
      <w:marTop w:val="0"/>
      <w:marBottom w:val="0"/>
      <w:divBdr>
        <w:top w:val="none" w:sz="0" w:space="0" w:color="auto"/>
        <w:left w:val="none" w:sz="0" w:space="0" w:color="auto"/>
        <w:bottom w:val="none" w:sz="0" w:space="0" w:color="auto"/>
        <w:right w:val="none" w:sz="0" w:space="0" w:color="auto"/>
      </w:divBdr>
    </w:div>
    <w:div w:id="742025308">
      <w:bodyDiv w:val="1"/>
      <w:marLeft w:val="0"/>
      <w:marRight w:val="0"/>
      <w:marTop w:val="0"/>
      <w:marBottom w:val="0"/>
      <w:divBdr>
        <w:top w:val="none" w:sz="0" w:space="0" w:color="auto"/>
        <w:left w:val="none" w:sz="0" w:space="0" w:color="auto"/>
        <w:bottom w:val="none" w:sz="0" w:space="0" w:color="auto"/>
        <w:right w:val="none" w:sz="0" w:space="0" w:color="auto"/>
      </w:divBdr>
    </w:div>
    <w:div w:id="917859617">
      <w:bodyDiv w:val="1"/>
      <w:marLeft w:val="0"/>
      <w:marRight w:val="0"/>
      <w:marTop w:val="0"/>
      <w:marBottom w:val="0"/>
      <w:divBdr>
        <w:top w:val="none" w:sz="0" w:space="0" w:color="auto"/>
        <w:left w:val="none" w:sz="0" w:space="0" w:color="auto"/>
        <w:bottom w:val="none" w:sz="0" w:space="0" w:color="auto"/>
        <w:right w:val="none" w:sz="0" w:space="0" w:color="auto"/>
      </w:divBdr>
    </w:div>
    <w:div w:id="947466727">
      <w:bodyDiv w:val="1"/>
      <w:marLeft w:val="0"/>
      <w:marRight w:val="0"/>
      <w:marTop w:val="0"/>
      <w:marBottom w:val="0"/>
      <w:divBdr>
        <w:top w:val="none" w:sz="0" w:space="0" w:color="auto"/>
        <w:left w:val="none" w:sz="0" w:space="0" w:color="auto"/>
        <w:bottom w:val="none" w:sz="0" w:space="0" w:color="auto"/>
        <w:right w:val="none" w:sz="0" w:space="0" w:color="auto"/>
      </w:divBdr>
    </w:div>
    <w:div w:id="1104305824">
      <w:bodyDiv w:val="1"/>
      <w:marLeft w:val="0"/>
      <w:marRight w:val="0"/>
      <w:marTop w:val="0"/>
      <w:marBottom w:val="0"/>
      <w:divBdr>
        <w:top w:val="none" w:sz="0" w:space="0" w:color="auto"/>
        <w:left w:val="none" w:sz="0" w:space="0" w:color="auto"/>
        <w:bottom w:val="none" w:sz="0" w:space="0" w:color="auto"/>
        <w:right w:val="none" w:sz="0" w:space="0" w:color="auto"/>
      </w:divBdr>
    </w:div>
    <w:div w:id="1707683249">
      <w:bodyDiv w:val="1"/>
      <w:marLeft w:val="0"/>
      <w:marRight w:val="0"/>
      <w:marTop w:val="0"/>
      <w:marBottom w:val="0"/>
      <w:divBdr>
        <w:top w:val="none" w:sz="0" w:space="0" w:color="auto"/>
        <w:left w:val="none" w:sz="0" w:space="0" w:color="auto"/>
        <w:bottom w:val="none" w:sz="0" w:space="0" w:color="auto"/>
        <w:right w:val="none" w:sz="0" w:space="0" w:color="auto"/>
      </w:divBdr>
    </w:div>
    <w:div w:id="1724401186">
      <w:bodyDiv w:val="1"/>
      <w:marLeft w:val="0"/>
      <w:marRight w:val="0"/>
      <w:marTop w:val="0"/>
      <w:marBottom w:val="0"/>
      <w:divBdr>
        <w:top w:val="none" w:sz="0" w:space="0" w:color="auto"/>
        <w:left w:val="none" w:sz="0" w:space="0" w:color="auto"/>
        <w:bottom w:val="none" w:sz="0" w:space="0" w:color="auto"/>
        <w:right w:val="none" w:sz="0" w:space="0" w:color="auto"/>
      </w:divBdr>
    </w:div>
    <w:div w:id="1773236820">
      <w:bodyDiv w:val="1"/>
      <w:marLeft w:val="0"/>
      <w:marRight w:val="0"/>
      <w:marTop w:val="0"/>
      <w:marBottom w:val="0"/>
      <w:divBdr>
        <w:top w:val="none" w:sz="0" w:space="0" w:color="auto"/>
        <w:left w:val="none" w:sz="0" w:space="0" w:color="auto"/>
        <w:bottom w:val="none" w:sz="0" w:space="0" w:color="auto"/>
        <w:right w:val="none" w:sz="0" w:space="0" w:color="auto"/>
      </w:divBdr>
    </w:div>
    <w:div w:id="1889564137">
      <w:bodyDiv w:val="1"/>
      <w:marLeft w:val="0"/>
      <w:marRight w:val="0"/>
      <w:marTop w:val="0"/>
      <w:marBottom w:val="0"/>
      <w:divBdr>
        <w:top w:val="none" w:sz="0" w:space="0" w:color="auto"/>
        <w:left w:val="none" w:sz="0" w:space="0" w:color="auto"/>
        <w:bottom w:val="none" w:sz="0" w:space="0" w:color="auto"/>
        <w:right w:val="none" w:sz="0" w:space="0" w:color="auto"/>
      </w:divBdr>
    </w:div>
    <w:div w:id="20900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Rossetti</dc:creator>
  <cp:keywords/>
  <dc:description/>
  <cp:lastModifiedBy>Andrea Smyth</cp:lastModifiedBy>
  <cp:revision>2</cp:revision>
  <dcterms:created xsi:type="dcterms:W3CDTF">2024-01-17T00:29:00Z</dcterms:created>
  <dcterms:modified xsi:type="dcterms:W3CDTF">2024-01-17T00:29:00Z</dcterms:modified>
</cp:coreProperties>
</file>