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38DB5" w14:textId="08DA15A1" w:rsidR="00B20266" w:rsidRDefault="00A657C0" w:rsidP="00B20266">
      <w:pPr>
        <w:rPr>
          <w:u w:val="single"/>
        </w:rPr>
      </w:pPr>
      <w:r w:rsidRPr="00A657C0">
        <w:rPr>
          <w:b/>
          <w:bCs/>
          <w:u w:val="single"/>
        </w:rPr>
        <w:t>Block Grant</w:t>
      </w:r>
      <w:r>
        <w:rPr>
          <w:u w:val="single"/>
        </w:rPr>
        <w:t xml:space="preserve"> N</w:t>
      </w:r>
      <w:r w:rsidR="00B322EC">
        <w:rPr>
          <w:u w:val="single"/>
        </w:rPr>
        <w:t>otice of Award</w:t>
      </w:r>
      <w:r w:rsidR="008A479B">
        <w:rPr>
          <w:u w:val="single"/>
        </w:rPr>
        <w:t xml:space="preserve"> (NoA)</w:t>
      </w:r>
      <w:r w:rsidR="00B322EC">
        <w:rPr>
          <w:u w:val="single"/>
        </w:rPr>
        <w:t xml:space="preserve"> Terms for </w:t>
      </w:r>
      <w:r w:rsidR="008A479B">
        <w:rPr>
          <w:u w:val="single"/>
        </w:rPr>
        <w:t>Terminating</w:t>
      </w:r>
      <w:r w:rsidR="007C451E">
        <w:rPr>
          <w:u w:val="single"/>
        </w:rPr>
        <w:t xml:space="preserve"> </w:t>
      </w:r>
      <w:r w:rsidR="00B20266" w:rsidRPr="00B20266">
        <w:rPr>
          <w:u w:val="single"/>
        </w:rPr>
        <w:t xml:space="preserve">COVID-19 </w:t>
      </w:r>
      <w:r w:rsidR="007C451E">
        <w:rPr>
          <w:u w:val="single"/>
        </w:rPr>
        <w:t>Awards (CRSSA and ARP)</w:t>
      </w:r>
    </w:p>
    <w:p w14:paraId="7D12CB52" w14:textId="77777777" w:rsidR="003B6018" w:rsidRDefault="003B6018" w:rsidP="003B6018"/>
    <w:p w14:paraId="128BDCF3" w14:textId="77777777" w:rsidR="00FD2ED7" w:rsidRDefault="00FD2ED7" w:rsidP="00FD2ED7">
      <w:r w:rsidRPr="1C9FF5EB">
        <w:t xml:space="preserve">During the COVID-19 pandemic, the Substance Abuse </w:t>
      </w:r>
      <w:r>
        <w:t xml:space="preserve">and </w:t>
      </w:r>
      <w:r w:rsidRPr="1C9FF5EB">
        <w:t xml:space="preserve">Mental Health Services Administration (SAMHSA) awarded several pandemic-related grants funded </w:t>
      </w:r>
      <w:hyperlink r:id="rId7" w:history="1">
        <w:r w:rsidRPr="1C9FF5EB">
          <w:rPr>
            <w:rStyle w:val="Hyperlink"/>
          </w:rPr>
          <w:t>Coronavirus Response and Relief Supplemental Appropriations Act</w:t>
        </w:r>
      </w:hyperlink>
      <w:r w:rsidRPr="1C9FF5EB">
        <w:t xml:space="preserve"> (CRRSA) which provided funds to respond to the coronavirus outbreak and the  </w:t>
      </w:r>
      <w:hyperlink r:id="rId8" w:history="1">
        <w:r w:rsidRPr="1C9FF5EB">
          <w:rPr>
            <w:rStyle w:val="Hyperlink"/>
          </w:rPr>
          <w:t>American Rescue Plan</w:t>
        </w:r>
      </w:hyperlink>
      <w:r w:rsidRPr="1C9FF5EB">
        <w:t xml:space="preserve"> (ARP) Act which provided additional relief to address the continued impact of COVID-19.</w:t>
      </w:r>
    </w:p>
    <w:p w14:paraId="1AA811C6" w14:textId="77777777" w:rsidR="00FD2ED7" w:rsidRDefault="00FD2ED7" w:rsidP="00FD2ED7"/>
    <w:p w14:paraId="3CBE94F3" w14:textId="77777777" w:rsidR="00FD2ED7" w:rsidRDefault="00FD2ED7" w:rsidP="00FD2ED7">
      <w:pPr>
        <w:autoSpaceDE w:val="0"/>
        <w:autoSpaceDN w:val="0"/>
        <w:adjustRightInd w:val="0"/>
      </w:pPr>
      <w:r w:rsidRPr="006255BC">
        <w:t>The termination of this award</w:t>
      </w:r>
      <w:r>
        <w:t xml:space="preserve"> </w:t>
      </w:r>
      <w:r w:rsidRPr="006255BC">
        <w:t xml:space="preserve">is for cause. The block grant provisions at </w:t>
      </w:r>
      <w:hyperlink r:id="rId9" w:history="1">
        <w:r w:rsidRPr="00AD2BDF">
          <w:rPr>
            <w:rStyle w:val="Hyperlink"/>
          </w:rPr>
          <w:t>42 U.S.C. §300x-55</w:t>
        </w:r>
      </w:hyperlink>
      <w:r w:rsidRPr="006255BC">
        <w:t xml:space="preserve"> permit termination if </w:t>
      </w:r>
      <w:r>
        <w:t>the state “</w:t>
      </w:r>
      <w:r w:rsidRPr="00D529F2">
        <w:t>has materially</w:t>
      </w:r>
      <w:r>
        <w:t xml:space="preserve"> </w:t>
      </w:r>
      <w:r w:rsidRPr="00D529F2">
        <w:t>failed to comply with the agreements or other conditions required</w:t>
      </w:r>
      <w:r>
        <w:t xml:space="preserve"> </w:t>
      </w:r>
      <w:r w:rsidRPr="00D529F2">
        <w:t>for the receipt of a grant under the program involved</w:t>
      </w:r>
      <w:r>
        <w:t xml:space="preserve">.”  </w:t>
      </w:r>
      <w:r w:rsidRPr="002F4B83">
        <w:t xml:space="preserve">The end of the pandemic provides cause to terminate COVID-related grants and cooperative agreements. These grants and cooperative agreements were issued for a limited purpose: to ameliorate the effects of the pandemic. Now that the pandemic is over, the grants and cooperative agreements are no longer necessary as their limited purpose has run out. Termination </w:t>
      </w:r>
      <w:r>
        <w:t>of this award</w:t>
      </w:r>
      <w:r w:rsidRPr="002F4B83">
        <w:t xml:space="preserve"> is effective </w:t>
      </w:r>
      <w:r>
        <w:t>as of 11:59PM EDT, March 24, 2025</w:t>
      </w:r>
      <w:r w:rsidRPr="002F4B83">
        <w:t>.</w:t>
      </w:r>
    </w:p>
    <w:p w14:paraId="36CC6316" w14:textId="77777777" w:rsidR="003B6018" w:rsidRDefault="003B6018" w:rsidP="003B6018"/>
    <w:p w14:paraId="67DF3539" w14:textId="77777777" w:rsidR="003B6018" w:rsidRPr="00A323A7" w:rsidRDefault="003B6018" w:rsidP="003B6018">
      <w:pPr>
        <w:rPr>
          <w:u w:val="single"/>
        </w:rPr>
      </w:pPr>
      <w:r w:rsidRPr="00A323A7">
        <w:rPr>
          <w:u w:val="single"/>
        </w:rPr>
        <w:t>REPORTING REQUIREMENTS</w:t>
      </w:r>
    </w:p>
    <w:p w14:paraId="4AE03D2C" w14:textId="3E27CB42" w:rsidR="00164E92" w:rsidRDefault="00164E92" w:rsidP="00164E92">
      <w:r w:rsidRPr="1C9FF5EB">
        <w:t xml:space="preserve">In accordance with </w:t>
      </w:r>
      <w:hyperlink r:id="rId10" w:anchor="p-96.30(b)(4)" w:history="1">
        <w:r w:rsidRPr="1C9FF5EB">
          <w:rPr>
            <w:rStyle w:val="Hyperlink"/>
          </w:rPr>
          <w:t>45 CFR 96.30 (4)</w:t>
        </w:r>
      </w:hyperlink>
      <w:r w:rsidRPr="1C9FF5EB">
        <w:t xml:space="preserve">, block grant award recipients are required to provide a Financial Status Report (FFR) </w:t>
      </w:r>
      <w:r>
        <w:t>no later than</w:t>
      </w:r>
      <w:r w:rsidRPr="1C9FF5EB">
        <w:t xml:space="preserve"> 90</w:t>
      </w:r>
      <w:r>
        <w:t xml:space="preserve"> calendar</w:t>
      </w:r>
      <w:r w:rsidRPr="1C9FF5EB">
        <w:t xml:space="preserve"> days </w:t>
      </w:r>
      <w:r>
        <w:t>after March 24, 2025.</w:t>
      </w:r>
      <w:r w:rsidRPr="1C9FF5EB">
        <w:t xml:space="preserve">  Recipients must liquidate all obligations incurred under an award </w:t>
      </w:r>
      <w:r>
        <w:t xml:space="preserve">no later than 90 calendar days after March 24, 2025, </w:t>
      </w:r>
      <w:r w:rsidRPr="1C9FF5EB">
        <w:t xml:space="preserve">which also coincides with the due date for submission of the FINAL SF-425, Federal Financial Report (FFR).  Reimbursements after termination are allowable if </w:t>
      </w:r>
      <w:r w:rsidR="006F04F5" w:rsidRPr="1C9FF5EB">
        <w:t xml:space="preserve">allowable if </w:t>
      </w:r>
      <w:r w:rsidR="006F04F5">
        <w:t xml:space="preserve">the reimbursements result from </w:t>
      </w:r>
      <w:r w:rsidR="006F04F5" w:rsidRPr="1C9FF5EB">
        <w:t xml:space="preserve">obligations </w:t>
      </w:r>
      <w:r w:rsidRPr="1C9FF5EB">
        <w:t xml:space="preserve">which were properly incurred </w:t>
      </w:r>
      <w:r>
        <w:t xml:space="preserve">on or </w:t>
      </w:r>
      <w:r w:rsidRPr="1C9FF5EB">
        <w:t xml:space="preserve">before </w:t>
      </w:r>
      <w:r>
        <w:t>March 24, 2025</w:t>
      </w:r>
      <w:r w:rsidRPr="1C9FF5EB">
        <w:t>.</w:t>
      </w:r>
    </w:p>
    <w:p w14:paraId="1797A16B" w14:textId="77777777" w:rsidR="00164E92" w:rsidRDefault="00164E92" w:rsidP="00164E92"/>
    <w:p w14:paraId="2F1856F2" w14:textId="77777777" w:rsidR="00164E92" w:rsidRDefault="00164E92" w:rsidP="00164E92">
      <w:r w:rsidRPr="1C9FF5EB">
        <w:t xml:space="preserve">Recipients are expected to </w:t>
      </w:r>
      <w:r>
        <w:t>cease all activities immediately</w:t>
      </w:r>
      <w:r w:rsidRPr="1C9FF5EB">
        <w:t xml:space="preserve"> and</w:t>
      </w:r>
      <w:r>
        <w:t xml:space="preserve"> complete</w:t>
      </w:r>
      <w:r w:rsidRPr="1C9FF5EB">
        <w:t xml:space="preserve"> the reconciliation/liquidation process no later than 90</w:t>
      </w:r>
      <w:r>
        <w:t xml:space="preserve"> calendar </w:t>
      </w:r>
      <w:r w:rsidRPr="1C9FF5EB">
        <w:t xml:space="preserve">days after the </w:t>
      </w:r>
      <w:r>
        <w:t>termination effective date.</w:t>
      </w:r>
      <w:r w:rsidRPr="00B6057A">
        <w:rPr>
          <w:rStyle w:val="Heading1Char"/>
        </w:rPr>
        <w:t xml:space="preserve"> </w:t>
      </w:r>
      <w:r w:rsidRPr="00B6057A">
        <w:rPr>
          <w:b/>
          <w:bCs/>
        </w:rPr>
        <w:t>SAMHSA does not approve extensions to the</w:t>
      </w:r>
      <w:r>
        <w:rPr>
          <w:b/>
          <w:bCs/>
        </w:rPr>
        <w:t xml:space="preserve"> </w:t>
      </w:r>
      <w:r w:rsidRPr="00B6057A">
        <w:rPr>
          <w:b/>
          <w:bCs/>
        </w:rPr>
        <w:t>post-award ninety (90) day reconciliation/liquidation period.</w:t>
      </w:r>
    </w:p>
    <w:p w14:paraId="2884B002" w14:textId="77777777" w:rsidR="003B6018" w:rsidRDefault="003B6018" w:rsidP="003B6018"/>
    <w:p w14:paraId="1F1A1539" w14:textId="77777777" w:rsidR="003B6018" w:rsidRPr="00B20266" w:rsidRDefault="003B6018" w:rsidP="003B6018">
      <w:pPr>
        <w:rPr>
          <w:u w:val="single"/>
        </w:rPr>
      </w:pPr>
      <w:r w:rsidRPr="00B20266">
        <w:rPr>
          <w:u w:val="single"/>
        </w:rPr>
        <w:t>RESTRICTION ON THE DRAWDOWN OF FUNDS</w:t>
      </w:r>
    </w:p>
    <w:p w14:paraId="46ACEE05" w14:textId="77777777" w:rsidR="003B6018" w:rsidRDefault="003B6018" w:rsidP="003B6018">
      <w:r w:rsidRPr="1C9FF5EB">
        <w:t xml:space="preserve">The related Payment Management System account </w:t>
      </w:r>
      <w:r>
        <w:t xml:space="preserve">has </w:t>
      </w:r>
      <w:r w:rsidRPr="1C9FF5EB">
        <w:t>been restricted from draw</w:t>
      </w:r>
      <w:r>
        <w:t>ing down funding which now requires prior approval from SAMHSA.</w:t>
      </w:r>
    </w:p>
    <w:p w14:paraId="73340623" w14:textId="77777777" w:rsidR="003B6018" w:rsidRPr="00CA5FF3" w:rsidRDefault="003B6018" w:rsidP="003B6018"/>
    <w:p w14:paraId="2DDC6221" w14:textId="77777777" w:rsidR="003B6018" w:rsidRPr="00214B9D" w:rsidRDefault="003B6018" w:rsidP="003B6018">
      <w:pPr>
        <w:rPr>
          <w:color w:val="000000"/>
          <w:u w:val="single"/>
        </w:rPr>
      </w:pPr>
      <w:r w:rsidRPr="00214B9D">
        <w:rPr>
          <w:color w:val="000000"/>
          <w:u w:val="single"/>
        </w:rPr>
        <w:t>PAYMENT</w:t>
      </w:r>
      <w:r>
        <w:rPr>
          <w:color w:val="000000"/>
          <w:u w:val="single"/>
        </w:rPr>
        <w:t xml:space="preserve"> REQUEST</w:t>
      </w:r>
    </w:p>
    <w:p w14:paraId="7AAD57BD" w14:textId="3A074352" w:rsidR="003B6018" w:rsidRDefault="003B6018" w:rsidP="003B6018">
      <w:r>
        <w:t>Reimbursements after termination are allowable for obligations that were properly incurred on or before the effective date of the termination.</w:t>
      </w:r>
    </w:p>
    <w:p w14:paraId="670BE000" w14:textId="77777777" w:rsidR="003B6018" w:rsidRDefault="003B6018" w:rsidP="003B6018"/>
    <w:p w14:paraId="4D9D4108" w14:textId="67A3446A" w:rsidR="003B6018" w:rsidRDefault="003B6018" w:rsidP="003B6018">
      <w:r>
        <w:t xml:space="preserve">To request reimbursement, your organization must email your cognizant Grants Management Specialists (see contact information below) stating the amount requested and certifying in the email that “all costs claimed for reimbursement are allowable, allocable, reasonable, and necessary and were incurred on or before </w:t>
      </w:r>
      <w:r w:rsidR="00E02105">
        <w:t>the effective date of the termination</w:t>
      </w:r>
      <w:r>
        <w:t>, in accordance with 45 CFR 96.30”.</w:t>
      </w:r>
    </w:p>
    <w:p w14:paraId="24D4B25D" w14:textId="77777777" w:rsidR="003B6018" w:rsidRDefault="003B6018" w:rsidP="003B6018"/>
    <w:p w14:paraId="0ECB6730" w14:textId="77777777" w:rsidR="003B6018" w:rsidRDefault="003B6018" w:rsidP="003B6018">
      <w:r>
        <w:lastRenderedPageBreak/>
        <w:t xml:space="preserve">All requests for reimbursement must be submitted </w:t>
      </w:r>
      <w:r>
        <w:rPr>
          <w:b/>
          <w:bCs/>
          <w:u w:val="single"/>
        </w:rPr>
        <w:t>no later than 90 calendar days from the effective date of the termination</w:t>
      </w:r>
      <w:r>
        <w:t xml:space="preserve"> to </w:t>
      </w:r>
      <w:hyperlink r:id="rId11">
        <w:r w:rsidRPr="5EC04F18">
          <w:rPr>
            <w:rStyle w:val="Hyperlink"/>
            <w:rFonts w:eastAsiaTheme="majorEastAsia"/>
            <w:color w:val="000000" w:themeColor="text1"/>
          </w:rPr>
          <w:t>wendy.pang@samhsa.hhs.gov</w:t>
        </w:r>
      </w:hyperlink>
      <w:r>
        <w:t xml:space="preserve"> and </w:t>
      </w:r>
      <w:hyperlink r:id="rId12">
        <w:r w:rsidRPr="5EC04F18">
          <w:rPr>
            <w:rStyle w:val="Hyperlink"/>
            <w:rFonts w:eastAsiaTheme="majorEastAsia"/>
            <w:color w:val="000000" w:themeColor="text1"/>
          </w:rPr>
          <w:t>katrina.morgan@samhsa.hhs.gov</w:t>
        </w:r>
      </w:hyperlink>
      <w:r>
        <w:t xml:space="preserve">.  If approved, a follow-up email will be sent to you to submit your payment request to PMS only requesting the amount approved in SAMHSA’s email response.  Once you submit your payment request to PMS it will be reviewed for accuracy and either approved for drawdown or returned. </w:t>
      </w:r>
      <w:r w:rsidRPr="00536724">
        <w:t xml:space="preserve">SAMHSA does not approve extensions to the </w:t>
      </w:r>
      <w:r>
        <w:t>90-calendar</w:t>
      </w:r>
      <w:r w:rsidRPr="00536724">
        <w:t xml:space="preserve"> day</w:t>
      </w:r>
      <w:r>
        <w:t xml:space="preserve"> post-award</w:t>
      </w:r>
      <w:r w:rsidRPr="00536724">
        <w:t xml:space="preserve"> reconciliation/liquidation period.</w:t>
      </w:r>
    </w:p>
    <w:p w14:paraId="2C426844" w14:textId="77777777" w:rsidR="003B6018" w:rsidRDefault="003B6018" w:rsidP="003B6018"/>
    <w:p w14:paraId="0AA6CBA7" w14:textId="77777777" w:rsidR="003B6018" w:rsidRDefault="003B6018" w:rsidP="003B6018">
      <w:r>
        <w:t>As a reminder, PMS introduced a new mandatory field in the payment request screen at the subaccount level.  This field, limited to 1,000 characters, will capture a justification from the grant recipient explaining the purpose of the payment request.</w:t>
      </w:r>
    </w:p>
    <w:p w14:paraId="0B07F7DE" w14:textId="77777777" w:rsidR="003B6018" w:rsidRDefault="003B6018" w:rsidP="003B6018"/>
    <w:p w14:paraId="4BBCB1ED" w14:textId="77777777" w:rsidR="003B6018" w:rsidRDefault="003B6018" w:rsidP="003B6018">
      <w:r>
        <w:t>Hearing Rights:</w:t>
      </w:r>
    </w:p>
    <w:p w14:paraId="2102A65E" w14:textId="77777777" w:rsidR="003B6018" w:rsidRDefault="003B6018" w:rsidP="003B6018"/>
    <w:p w14:paraId="14DBDFC0" w14:textId="77777777" w:rsidR="004E7E3F" w:rsidRPr="00CA5FF3" w:rsidRDefault="004E7E3F" w:rsidP="004E7E3F">
      <w:r>
        <w:t xml:space="preserve">Per the enclosed hearing procedures, block grant recipients may request a hearing to dispute this decision by submitting </w:t>
      </w:r>
      <w:r w:rsidRPr="003562E3">
        <w:t>a written notice to the Substance Abuse and Mental Health Services Administration (SAMHSA) requesting a hearing within 15 days of the date of th</w:t>
      </w:r>
      <w:r>
        <w:t xml:space="preserve">is </w:t>
      </w:r>
      <w:r w:rsidRPr="003562E3">
        <w:t>notice</w:t>
      </w:r>
      <w:r>
        <w:t xml:space="preserve"> to: </w:t>
      </w:r>
      <w:hyperlink r:id="rId13" w:history="1">
        <w:r w:rsidRPr="00732CA2">
          <w:rPr>
            <w:rStyle w:val="Hyperlink"/>
          </w:rPr>
          <w:t>SAMHSAgrants@samhsa.hhs.gov</w:t>
        </w:r>
      </w:hyperlink>
      <w:r>
        <w:t xml:space="preserve">.  </w:t>
      </w:r>
      <w:r w:rsidRPr="003562E3">
        <w:t xml:space="preserve">The </w:t>
      </w:r>
      <w:r>
        <w:t xml:space="preserve">request for a hearing </w:t>
      </w:r>
      <w:r w:rsidRPr="003562E3">
        <w:t>must include a copy of th</w:t>
      </w:r>
      <w:r>
        <w:t xml:space="preserve">is termination </w:t>
      </w:r>
      <w:r w:rsidRPr="003562E3">
        <w:t>notice and a brief statement of why th</w:t>
      </w:r>
      <w:r>
        <w:t xml:space="preserve">is </w:t>
      </w:r>
      <w:r w:rsidRPr="003562E3">
        <w:t xml:space="preserve">decision </w:t>
      </w:r>
      <w:r>
        <w:t xml:space="preserve">should not be upheld.  </w:t>
      </w:r>
    </w:p>
    <w:p w14:paraId="5223916E" w14:textId="77777777" w:rsidR="004E7E3F" w:rsidRDefault="004E7E3F" w:rsidP="004E7E3F"/>
    <w:p w14:paraId="45430DD6" w14:textId="41DFA6B6" w:rsidR="00625C26" w:rsidRDefault="003B6018">
      <w:r>
        <w:t>Enclosure</w:t>
      </w:r>
    </w:p>
    <w:sectPr w:rsidR="00625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26"/>
    <w:rsid w:val="00047C47"/>
    <w:rsid w:val="00071192"/>
    <w:rsid w:val="00072BF0"/>
    <w:rsid w:val="00075BC9"/>
    <w:rsid w:val="00103259"/>
    <w:rsid w:val="00110228"/>
    <w:rsid w:val="00122515"/>
    <w:rsid w:val="00132F68"/>
    <w:rsid w:val="00150DCC"/>
    <w:rsid w:val="001514B7"/>
    <w:rsid w:val="00153C8D"/>
    <w:rsid w:val="00164E92"/>
    <w:rsid w:val="00173140"/>
    <w:rsid w:val="001C4E4C"/>
    <w:rsid w:val="001D2144"/>
    <w:rsid w:val="002125FD"/>
    <w:rsid w:val="00214B9D"/>
    <w:rsid w:val="00223F21"/>
    <w:rsid w:val="00241ACA"/>
    <w:rsid w:val="002453ED"/>
    <w:rsid w:val="00245C66"/>
    <w:rsid w:val="0025084F"/>
    <w:rsid w:val="0025541D"/>
    <w:rsid w:val="002B0AA2"/>
    <w:rsid w:val="002B1280"/>
    <w:rsid w:val="002F566B"/>
    <w:rsid w:val="00343F55"/>
    <w:rsid w:val="003B6018"/>
    <w:rsid w:val="003E045A"/>
    <w:rsid w:val="00400AC9"/>
    <w:rsid w:val="004258F0"/>
    <w:rsid w:val="00435C1E"/>
    <w:rsid w:val="00450F60"/>
    <w:rsid w:val="00473585"/>
    <w:rsid w:val="004A03A6"/>
    <w:rsid w:val="004E7E3F"/>
    <w:rsid w:val="004F678F"/>
    <w:rsid w:val="005031DC"/>
    <w:rsid w:val="005267F0"/>
    <w:rsid w:val="00530A17"/>
    <w:rsid w:val="00533390"/>
    <w:rsid w:val="00536724"/>
    <w:rsid w:val="005541A3"/>
    <w:rsid w:val="00555142"/>
    <w:rsid w:val="0057785E"/>
    <w:rsid w:val="00594842"/>
    <w:rsid w:val="005A6428"/>
    <w:rsid w:val="005F4F87"/>
    <w:rsid w:val="005F6F29"/>
    <w:rsid w:val="00616FBD"/>
    <w:rsid w:val="00625C26"/>
    <w:rsid w:val="006500AB"/>
    <w:rsid w:val="00650B41"/>
    <w:rsid w:val="006664DB"/>
    <w:rsid w:val="00667166"/>
    <w:rsid w:val="006A47B2"/>
    <w:rsid w:val="006B069F"/>
    <w:rsid w:val="006B5EB1"/>
    <w:rsid w:val="006C29E8"/>
    <w:rsid w:val="006C3A87"/>
    <w:rsid w:val="006D1A42"/>
    <w:rsid w:val="006F04F5"/>
    <w:rsid w:val="006F3D06"/>
    <w:rsid w:val="006F4480"/>
    <w:rsid w:val="0078359E"/>
    <w:rsid w:val="007843E8"/>
    <w:rsid w:val="007B2E35"/>
    <w:rsid w:val="007C1905"/>
    <w:rsid w:val="007C451E"/>
    <w:rsid w:val="007D0D5C"/>
    <w:rsid w:val="007D375B"/>
    <w:rsid w:val="007E3F2A"/>
    <w:rsid w:val="007E465E"/>
    <w:rsid w:val="00817030"/>
    <w:rsid w:val="008321D8"/>
    <w:rsid w:val="00896D2C"/>
    <w:rsid w:val="0089724E"/>
    <w:rsid w:val="008A479B"/>
    <w:rsid w:val="009050A1"/>
    <w:rsid w:val="00916154"/>
    <w:rsid w:val="00990DC7"/>
    <w:rsid w:val="009B2A5C"/>
    <w:rsid w:val="00A1440A"/>
    <w:rsid w:val="00A1472E"/>
    <w:rsid w:val="00A179FA"/>
    <w:rsid w:val="00A323A7"/>
    <w:rsid w:val="00A657C0"/>
    <w:rsid w:val="00A905D5"/>
    <w:rsid w:val="00AE58CF"/>
    <w:rsid w:val="00B11F08"/>
    <w:rsid w:val="00B20266"/>
    <w:rsid w:val="00B322EC"/>
    <w:rsid w:val="00BB4E7A"/>
    <w:rsid w:val="00BC6F44"/>
    <w:rsid w:val="00BD0897"/>
    <w:rsid w:val="00BD52C4"/>
    <w:rsid w:val="00C00277"/>
    <w:rsid w:val="00C56D69"/>
    <w:rsid w:val="00C6545E"/>
    <w:rsid w:val="00C7041E"/>
    <w:rsid w:val="00C74176"/>
    <w:rsid w:val="00CA4B1F"/>
    <w:rsid w:val="00CC23A5"/>
    <w:rsid w:val="00D35850"/>
    <w:rsid w:val="00D468B6"/>
    <w:rsid w:val="00D52593"/>
    <w:rsid w:val="00D539F8"/>
    <w:rsid w:val="00D61A7C"/>
    <w:rsid w:val="00D7333B"/>
    <w:rsid w:val="00DA0DE5"/>
    <w:rsid w:val="00DD440E"/>
    <w:rsid w:val="00DE1CB9"/>
    <w:rsid w:val="00DF7A36"/>
    <w:rsid w:val="00E02105"/>
    <w:rsid w:val="00EC156F"/>
    <w:rsid w:val="00EC6B26"/>
    <w:rsid w:val="00ED0BA8"/>
    <w:rsid w:val="00F5054F"/>
    <w:rsid w:val="00F50CB1"/>
    <w:rsid w:val="00F52C7C"/>
    <w:rsid w:val="00FA4B08"/>
    <w:rsid w:val="00FA7B7C"/>
    <w:rsid w:val="00FD2ED7"/>
    <w:rsid w:val="04ABB8ED"/>
    <w:rsid w:val="1408BBD5"/>
    <w:rsid w:val="157F602E"/>
    <w:rsid w:val="2426612C"/>
    <w:rsid w:val="314D1971"/>
    <w:rsid w:val="34F5888F"/>
    <w:rsid w:val="382D1A7B"/>
    <w:rsid w:val="3EC0D040"/>
    <w:rsid w:val="43F482A1"/>
    <w:rsid w:val="475D0E8A"/>
    <w:rsid w:val="4B260DAC"/>
    <w:rsid w:val="5EC04F18"/>
    <w:rsid w:val="64091ED9"/>
    <w:rsid w:val="686DC3E3"/>
    <w:rsid w:val="737E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CF10"/>
  <w15:chartTrackingRefBased/>
  <w15:docId w15:val="{594D808C-DB75-4C26-B554-23EDDFE4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1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25C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5C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5C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5C2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25C2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25C2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25C2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25C2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25C2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C26"/>
    <w:rPr>
      <w:rFonts w:eastAsiaTheme="majorEastAsia" w:cstheme="majorBidi"/>
      <w:color w:val="272727" w:themeColor="text1" w:themeTint="D8"/>
    </w:rPr>
  </w:style>
  <w:style w:type="paragraph" w:styleId="Title">
    <w:name w:val="Title"/>
    <w:basedOn w:val="Normal"/>
    <w:next w:val="Normal"/>
    <w:link w:val="TitleChar"/>
    <w:uiPriority w:val="10"/>
    <w:qFormat/>
    <w:rsid w:val="00625C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5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C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5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C2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25C26"/>
    <w:rPr>
      <w:i/>
      <w:iCs/>
      <w:color w:val="404040" w:themeColor="text1" w:themeTint="BF"/>
    </w:rPr>
  </w:style>
  <w:style w:type="paragraph" w:styleId="ListParagraph">
    <w:name w:val="List Paragraph"/>
    <w:basedOn w:val="Normal"/>
    <w:uiPriority w:val="34"/>
    <w:qFormat/>
    <w:rsid w:val="00625C2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25C26"/>
    <w:rPr>
      <w:i/>
      <w:iCs/>
      <w:color w:val="0F4761" w:themeColor="accent1" w:themeShade="BF"/>
    </w:rPr>
  </w:style>
  <w:style w:type="paragraph" w:styleId="IntenseQuote">
    <w:name w:val="Intense Quote"/>
    <w:basedOn w:val="Normal"/>
    <w:next w:val="Normal"/>
    <w:link w:val="IntenseQuoteChar"/>
    <w:uiPriority w:val="30"/>
    <w:qFormat/>
    <w:rsid w:val="00625C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25C26"/>
    <w:rPr>
      <w:i/>
      <w:iCs/>
      <w:color w:val="0F4761" w:themeColor="accent1" w:themeShade="BF"/>
    </w:rPr>
  </w:style>
  <w:style w:type="character" w:styleId="IntenseReference">
    <w:name w:val="Intense Reference"/>
    <w:basedOn w:val="DefaultParagraphFont"/>
    <w:uiPriority w:val="32"/>
    <w:qFormat/>
    <w:rsid w:val="00625C26"/>
    <w:rPr>
      <w:b/>
      <w:bCs/>
      <w:smallCaps/>
      <w:color w:val="0F4761" w:themeColor="accent1" w:themeShade="BF"/>
      <w:spacing w:val="5"/>
    </w:rPr>
  </w:style>
  <w:style w:type="character" w:styleId="Emphasis">
    <w:name w:val="Emphasis"/>
    <w:basedOn w:val="DefaultParagraphFont"/>
    <w:uiPriority w:val="20"/>
    <w:qFormat/>
    <w:rsid w:val="005F4F87"/>
    <w:rPr>
      <w:i/>
      <w:iCs/>
    </w:rPr>
  </w:style>
  <w:style w:type="character" w:styleId="Hyperlink">
    <w:name w:val="Hyperlink"/>
    <w:basedOn w:val="DefaultParagraphFont"/>
    <w:uiPriority w:val="99"/>
    <w:unhideWhenUsed/>
    <w:rsid w:val="005F4F87"/>
    <w:rPr>
      <w:color w:val="0000FF"/>
      <w:u w:val="single"/>
    </w:rPr>
  </w:style>
  <w:style w:type="paragraph" w:styleId="Revision">
    <w:name w:val="Revision"/>
    <w:hidden/>
    <w:uiPriority w:val="99"/>
    <w:semiHidden/>
    <w:rsid w:val="00214B9D"/>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C3A87"/>
    <w:rPr>
      <w:sz w:val="16"/>
      <w:szCs w:val="16"/>
    </w:rPr>
  </w:style>
  <w:style w:type="paragraph" w:styleId="CommentText">
    <w:name w:val="annotation text"/>
    <w:basedOn w:val="Normal"/>
    <w:link w:val="CommentTextChar"/>
    <w:uiPriority w:val="99"/>
    <w:unhideWhenUsed/>
    <w:rsid w:val="006C3A87"/>
    <w:rPr>
      <w:sz w:val="20"/>
      <w:szCs w:val="20"/>
    </w:rPr>
  </w:style>
  <w:style w:type="character" w:customStyle="1" w:styleId="CommentTextChar">
    <w:name w:val="Comment Text Char"/>
    <w:basedOn w:val="DefaultParagraphFont"/>
    <w:link w:val="CommentText"/>
    <w:uiPriority w:val="99"/>
    <w:rsid w:val="006C3A8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3A87"/>
    <w:rPr>
      <w:b/>
      <w:bCs/>
    </w:rPr>
  </w:style>
  <w:style w:type="character" w:customStyle="1" w:styleId="CommentSubjectChar">
    <w:name w:val="Comment Subject Char"/>
    <w:basedOn w:val="CommentTextChar"/>
    <w:link w:val="CommentSubject"/>
    <w:uiPriority w:val="99"/>
    <w:semiHidden/>
    <w:rsid w:val="006C3A87"/>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241ACA"/>
    <w:rPr>
      <w:color w:val="96607D" w:themeColor="followedHyperlink"/>
      <w:u w:val="single"/>
    </w:rPr>
  </w:style>
  <w:style w:type="character" w:styleId="UnresolvedMention">
    <w:name w:val="Unresolved Mention"/>
    <w:basedOn w:val="DefaultParagraphFont"/>
    <w:uiPriority w:val="99"/>
    <w:semiHidden/>
    <w:unhideWhenUsed/>
    <w:rsid w:val="005F6F29"/>
    <w:rPr>
      <w:color w:val="605E5C"/>
      <w:shd w:val="clear" w:color="auto" w:fill="E1DFDD"/>
    </w:rPr>
  </w:style>
  <w:style w:type="character" w:styleId="Mention">
    <w:name w:val="Mention"/>
    <w:basedOn w:val="DefaultParagraphFont"/>
    <w:uiPriority w:val="99"/>
    <w:unhideWhenUsed/>
    <w:rsid w:val="00AE58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2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7th-congress/house-bill/1319/text" TargetMode="External"/><Relationship Id="rId13" Type="http://schemas.openxmlformats.org/officeDocument/2006/relationships/hyperlink" Target="mailto:SAMHSAgrants@samhsa.hhs.gov" TargetMode="External"/><Relationship Id="rId3" Type="http://schemas.openxmlformats.org/officeDocument/2006/relationships/customXml" Target="../customXml/item3.xml"/><Relationship Id="rId7" Type="http://schemas.openxmlformats.org/officeDocument/2006/relationships/hyperlink" Target="https://www.congress.gov/bill/116th-congress/house-bill/6074/text" TargetMode="External"/><Relationship Id="rId12" Type="http://schemas.openxmlformats.org/officeDocument/2006/relationships/hyperlink" Target="mailto:katrina.morgan@samhsa.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dy.pang@samhs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cfr.gov/current/title-45/part-96/section-96.30" TargetMode="External"/><Relationship Id="rId4" Type="http://schemas.openxmlformats.org/officeDocument/2006/relationships/styles" Target="styles.xml"/><Relationship Id="rId9" Type="http://schemas.openxmlformats.org/officeDocument/2006/relationships/hyperlink" Target="https://uscode.house.gov/view.xhtml?path=/prelim@title42/chapter6A/subchapter17/partB/subpart3&amp;edition=preli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b404de-dd00-4e0e-8f9a-c98a6f6f34ab" xsi:nil="true"/>
    <lcf76f155ced4ddcb4097134ff3c332f xmlns="b7301327-2847-4130-b68a-667228db60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4" ma:contentTypeDescription="Create a new document." ma:contentTypeScope="" ma:versionID="3aaec9993af6bd42f96c674995782c2a">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71d618fa3b6be5b3b8a57a06ce102950"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9f1ca2-7b2a-4f07-9a1f-14117fdd0d17}"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8603-BFE8-4086-B282-1BC086B2CA8C}">
  <ds:schemaRefs>
    <ds:schemaRef ds:uri="http://schemas.microsoft.com/office/2006/metadata/properties"/>
    <ds:schemaRef ds:uri="http://schemas.microsoft.com/office/infopath/2007/PartnerControls"/>
    <ds:schemaRef ds:uri="96b404de-dd00-4e0e-8f9a-c98a6f6f34ab"/>
    <ds:schemaRef ds:uri="b7301327-2847-4130-b68a-667228db60bc"/>
  </ds:schemaRefs>
</ds:datastoreItem>
</file>

<file path=customXml/itemProps2.xml><?xml version="1.0" encoding="utf-8"?>
<ds:datastoreItem xmlns:ds="http://schemas.openxmlformats.org/officeDocument/2006/customXml" ds:itemID="{DFA77E3C-CEC8-4637-B95F-8D0F2751AD7D}">
  <ds:schemaRefs>
    <ds:schemaRef ds:uri="http://schemas.microsoft.com/sharepoint/v3/contenttype/forms"/>
  </ds:schemaRefs>
</ds:datastoreItem>
</file>

<file path=customXml/itemProps3.xml><?xml version="1.0" encoding="utf-8"?>
<ds:datastoreItem xmlns:ds="http://schemas.openxmlformats.org/officeDocument/2006/customXml" ds:itemID="{7A7A834C-8C64-43AF-B805-747ED432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Links>
    <vt:vector size="42" baseType="variant">
      <vt:variant>
        <vt:i4>6225959</vt:i4>
      </vt:variant>
      <vt:variant>
        <vt:i4>18</vt:i4>
      </vt:variant>
      <vt:variant>
        <vt:i4>0</vt:i4>
      </vt:variant>
      <vt:variant>
        <vt:i4>5</vt:i4>
      </vt:variant>
      <vt:variant>
        <vt:lpwstr>mailto:SAMHSAgrants@samhsa.hhs.gov</vt:lpwstr>
      </vt:variant>
      <vt:variant>
        <vt:lpwstr/>
      </vt:variant>
      <vt:variant>
        <vt:i4>2686997</vt:i4>
      </vt:variant>
      <vt:variant>
        <vt:i4>15</vt:i4>
      </vt:variant>
      <vt:variant>
        <vt:i4>0</vt:i4>
      </vt:variant>
      <vt:variant>
        <vt:i4>5</vt:i4>
      </vt:variant>
      <vt:variant>
        <vt:lpwstr>mailto:katrina.morgan@samhsa.hhs.gov</vt:lpwstr>
      </vt:variant>
      <vt:variant>
        <vt:lpwstr/>
      </vt:variant>
      <vt:variant>
        <vt:i4>4063241</vt:i4>
      </vt:variant>
      <vt:variant>
        <vt:i4>12</vt:i4>
      </vt:variant>
      <vt:variant>
        <vt:i4>0</vt:i4>
      </vt:variant>
      <vt:variant>
        <vt:i4>5</vt:i4>
      </vt:variant>
      <vt:variant>
        <vt:lpwstr>mailto:wendy.pang@samhsa.hhs.gov</vt:lpwstr>
      </vt:variant>
      <vt:variant>
        <vt:lpwstr/>
      </vt:variant>
      <vt:variant>
        <vt:i4>8257650</vt:i4>
      </vt:variant>
      <vt:variant>
        <vt:i4>9</vt:i4>
      </vt:variant>
      <vt:variant>
        <vt:i4>0</vt:i4>
      </vt:variant>
      <vt:variant>
        <vt:i4>5</vt:i4>
      </vt:variant>
      <vt:variant>
        <vt:lpwstr>https://www.ecfr.gov/current/title-45/part-96/section-96.30</vt:lpwstr>
      </vt:variant>
      <vt:variant>
        <vt:lpwstr>p-96.30(b)(4)</vt:lpwstr>
      </vt:variant>
      <vt:variant>
        <vt:i4>1703991</vt:i4>
      </vt:variant>
      <vt:variant>
        <vt:i4>6</vt:i4>
      </vt:variant>
      <vt:variant>
        <vt:i4>0</vt:i4>
      </vt:variant>
      <vt:variant>
        <vt:i4>5</vt:i4>
      </vt:variant>
      <vt:variant>
        <vt:lpwstr>https://uscode.house.gov/view.xhtml?path=/prelim@title42/chapter6A/subchapter17/partB/subpart3&amp;edition=prelim</vt:lpwstr>
      </vt:variant>
      <vt:variant>
        <vt:lpwstr/>
      </vt:variant>
      <vt:variant>
        <vt:i4>5177364</vt:i4>
      </vt:variant>
      <vt:variant>
        <vt:i4>3</vt:i4>
      </vt:variant>
      <vt:variant>
        <vt:i4>0</vt:i4>
      </vt:variant>
      <vt:variant>
        <vt:i4>5</vt:i4>
      </vt:variant>
      <vt:variant>
        <vt:lpwstr>https://www.congress.gov/bill/117th-congress/house-bill/1319/text</vt:lpwstr>
      </vt:variant>
      <vt:variant>
        <vt:lpwstr/>
      </vt:variant>
      <vt:variant>
        <vt:i4>4259860</vt:i4>
      </vt:variant>
      <vt:variant>
        <vt:i4>0</vt:i4>
      </vt:variant>
      <vt:variant>
        <vt:i4>0</vt:i4>
      </vt:variant>
      <vt:variant>
        <vt:i4>5</vt:i4>
      </vt:variant>
      <vt:variant>
        <vt:lpwstr>https://www.congress.gov/bill/116th-congress/house-bill/6074/text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Katrina (SAMHSA/OFR)</dc:creator>
  <cp:keywords/>
  <dc:description/>
  <cp:lastModifiedBy>lauri cole</cp:lastModifiedBy>
  <cp:revision>2</cp:revision>
  <dcterms:created xsi:type="dcterms:W3CDTF">2025-04-04T02:00:00Z</dcterms:created>
  <dcterms:modified xsi:type="dcterms:W3CDTF">2025-04-04T02:00:00Z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ies>
</file>